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0FAC" w14:textId="21BFAB86" w:rsidR="00996E67" w:rsidRPr="00FE13BF" w:rsidRDefault="00996E67">
      <w:pPr>
        <w:pStyle w:val="Standard"/>
        <w:widowControl w:val="0"/>
        <w:tabs>
          <w:tab w:val="left" w:pos="740"/>
        </w:tabs>
        <w:autoSpaceDE w:val="0"/>
        <w:ind w:left="1130" w:hanging="113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37BEE">
        <w:rPr>
          <w:rFonts w:ascii="Tahoma" w:hAnsi="Tahoma" w:cs="Tahoma"/>
          <w:b/>
          <w:sz w:val="24"/>
          <w:szCs w:val="24"/>
          <w:u w:val="single"/>
        </w:rPr>
        <w:t xml:space="preserve">Príloha č.1 k VZN </w:t>
      </w:r>
      <w:r w:rsidRPr="00FE13BF">
        <w:rPr>
          <w:rFonts w:ascii="Tahoma" w:hAnsi="Tahoma" w:cs="Tahoma"/>
          <w:b/>
          <w:sz w:val="24"/>
          <w:szCs w:val="24"/>
          <w:u w:val="single"/>
        </w:rPr>
        <w:t xml:space="preserve">č. </w:t>
      </w:r>
      <w:r w:rsidR="00FE13BF" w:rsidRPr="00FE13BF">
        <w:rPr>
          <w:rFonts w:ascii="Tahoma" w:hAnsi="Tahoma" w:cs="Tahoma"/>
          <w:b/>
          <w:sz w:val="24"/>
          <w:szCs w:val="24"/>
          <w:u w:val="single"/>
        </w:rPr>
        <w:t>05/</w:t>
      </w:r>
      <w:r w:rsidRPr="00FE13BF">
        <w:rPr>
          <w:rFonts w:ascii="Tahoma" w:hAnsi="Tahoma" w:cs="Tahoma"/>
          <w:b/>
          <w:sz w:val="24"/>
          <w:szCs w:val="24"/>
          <w:u w:val="single"/>
        </w:rPr>
        <w:t>202</w:t>
      </w:r>
      <w:r w:rsidR="00537BEE" w:rsidRPr="00FE13BF">
        <w:rPr>
          <w:rFonts w:ascii="Tahoma" w:hAnsi="Tahoma" w:cs="Tahoma"/>
          <w:b/>
          <w:sz w:val="24"/>
          <w:szCs w:val="24"/>
          <w:u w:val="single"/>
        </w:rPr>
        <w:t>3</w:t>
      </w:r>
    </w:p>
    <w:p w14:paraId="705CEAB6" w14:textId="77777777" w:rsidR="00996E67" w:rsidRDefault="00996E67">
      <w:pPr>
        <w:pStyle w:val="Standard"/>
        <w:widowControl w:val="0"/>
        <w:tabs>
          <w:tab w:val="left" w:pos="740"/>
        </w:tabs>
        <w:autoSpaceDE w:val="0"/>
        <w:ind w:left="1130" w:hanging="1130"/>
        <w:jc w:val="both"/>
        <w:rPr>
          <w:rFonts w:ascii="Century Gothic" w:hAnsi="Century Gothic" w:cs="Tahoma"/>
          <w:b/>
          <w:sz w:val="28"/>
          <w:szCs w:val="28"/>
          <w:u w:val="single"/>
        </w:rPr>
      </w:pPr>
    </w:p>
    <w:p w14:paraId="37A52EEB" w14:textId="77777777" w:rsidR="00537BEE" w:rsidRPr="002803BB" w:rsidRDefault="00537BEE" w:rsidP="00537BEE">
      <w:pPr>
        <w:suppressAutoHyphens w:val="0"/>
        <w:autoSpaceDE w:val="0"/>
        <w:adjustRightInd w:val="0"/>
        <w:ind w:left="709" w:right="-145" w:hanging="709"/>
        <w:jc w:val="both"/>
        <w:textAlignment w:val="auto"/>
        <w:rPr>
          <w:rFonts w:ascii="Tahoma" w:eastAsia="Times New Roman" w:hAnsi="Tahoma"/>
          <w:b/>
          <w:kern w:val="0"/>
        </w:rPr>
      </w:pPr>
      <w:r w:rsidRPr="002803BB">
        <w:rPr>
          <w:rFonts w:ascii="Tahoma" w:eastAsia="Times New Roman" w:hAnsi="Tahoma"/>
          <w:b/>
          <w:kern w:val="0"/>
          <w:u w:val="single"/>
        </w:rPr>
        <w:t>ZÁVÄZNÁ ČASŤ ZMENY 06/2023</w:t>
      </w:r>
      <w:r w:rsidRPr="002803BB">
        <w:rPr>
          <w:rFonts w:ascii="Tahoma" w:eastAsia="Times New Roman" w:hAnsi="Tahoma"/>
          <w:b/>
          <w:kern w:val="0"/>
        </w:rPr>
        <w:t xml:space="preserve"> ÚZEMNÉHO PLÁNU OBCE TRAKOVICE</w:t>
      </w:r>
    </w:p>
    <w:p w14:paraId="5705CF4D" w14:textId="77777777" w:rsidR="00537BEE" w:rsidRPr="002803BB" w:rsidRDefault="00537BEE" w:rsidP="00537BEE">
      <w:pPr>
        <w:suppressAutoHyphens w:val="0"/>
        <w:autoSpaceDE w:val="0"/>
        <w:adjustRightInd w:val="0"/>
        <w:ind w:left="709" w:right="-145" w:hanging="709"/>
        <w:jc w:val="both"/>
        <w:textAlignment w:val="auto"/>
        <w:rPr>
          <w:rFonts w:ascii="Tahoma" w:eastAsia="Times New Roman" w:hAnsi="Tahoma"/>
          <w:b/>
          <w:kern w:val="0"/>
          <w:u w:val="single"/>
        </w:rPr>
      </w:pPr>
      <w:r w:rsidRPr="002803BB">
        <w:rPr>
          <w:rFonts w:ascii="Tahoma" w:eastAsia="Times New Roman" w:hAnsi="Tahoma"/>
          <w:b/>
          <w:kern w:val="0"/>
          <w:u w:val="single"/>
        </w:rPr>
        <w:t>C.</w:t>
      </w:r>
      <w:r w:rsidR="002803BB">
        <w:rPr>
          <w:rFonts w:ascii="Tahoma" w:eastAsia="Times New Roman" w:hAnsi="Tahoma"/>
          <w:b/>
          <w:kern w:val="0"/>
          <w:u w:val="single"/>
        </w:rPr>
        <w:t xml:space="preserve"> </w:t>
      </w:r>
      <w:r w:rsidRPr="002803BB">
        <w:rPr>
          <w:rFonts w:ascii="Tahoma" w:eastAsia="Times New Roman" w:hAnsi="Tahoma"/>
          <w:b/>
          <w:kern w:val="0"/>
          <w:u w:val="single"/>
        </w:rPr>
        <w:t xml:space="preserve"> REGULATÍVY ÚZEMNÉHO ROZVOJA</w:t>
      </w:r>
    </w:p>
    <w:p w14:paraId="14EEA653" w14:textId="77777777" w:rsidR="00537BEE" w:rsidRPr="002803BB" w:rsidRDefault="00537BEE" w:rsidP="00537BEE">
      <w:pPr>
        <w:pStyle w:val="Standard"/>
        <w:widowControl w:val="0"/>
        <w:autoSpaceDE w:val="0"/>
        <w:spacing w:before="120"/>
        <w:ind w:firstLine="708"/>
        <w:jc w:val="both"/>
        <w:rPr>
          <w:rFonts w:ascii="Tahoma" w:hAnsi="Tahoma" w:cs="Tahoma"/>
          <w:bCs/>
          <w:i/>
          <w:iCs/>
        </w:rPr>
      </w:pPr>
    </w:p>
    <w:p w14:paraId="226F8077" w14:textId="77777777" w:rsidR="00537BEE" w:rsidRPr="002803BB" w:rsidRDefault="00537BEE" w:rsidP="00537BEE">
      <w:pPr>
        <w:pStyle w:val="Standard"/>
        <w:widowControl w:val="0"/>
        <w:autoSpaceDE w:val="0"/>
        <w:spacing w:before="120"/>
        <w:ind w:firstLine="708"/>
        <w:jc w:val="both"/>
        <w:rPr>
          <w:rFonts w:ascii="Tahoma" w:hAnsi="Tahoma" w:cs="Tahoma"/>
        </w:rPr>
      </w:pPr>
      <w:r w:rsidRPr="002803BB">
        <w:rPr>
          <w:rFonts w:ascii="Tahoma" w:hAnsi="Tahoma" w:cs="Tahoma"/>
          <w:bCs/>
          <w:i/>
          <w:iCs/>
        </w:rPr>
        <w:t xml:space="preserve">Záväzná časť ZMENY 06/2023 územného plánu obce Trakovice obsahuje návrh regulatívov územného rozvoja v zmysle návrhu riešenia ZMENY 06/2023 (v texte vyznačené tučným písmom kurzívou). </w:t>
      </w:r>
    </w:p>
    <w:p w14:paraId="2AA0258E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>Riešením ZMENY 06/2023 ÚPN obce sa časť C. NÁVRH ZÁVÄZNEJ ČASTI - REGULATÍVY ÚZEMNÉHO ROZVOJA v jej jednotlivých kapitolách I. ZÁSADY A REGULATÍVY PRIESTOROVÉHO USPORIADANIA A FUNKČNÉHO VYUŽÍVANIA ÚZEMIA, II. PODMIENKY NA VYUŽITIE NAVRHOVANÝCH FUNKČNÝCH PLÔCH, III. ZÁSADY A REGULATÍVY UMIESTNENIA OBČIANSKEHO VYBAVENIA, IV. ZÁSADY A REGULATÍVY UMIESTNENIA VEREJNÉHO DOPRAVNÉHO A TECHNICKÉHO VYBAVENIA, V. ZÁSADY A REGULATÍVY ZACHOVANIA KULTÚRNO-HISTORICKÝCH HODNÔT, VI. ZÁSADY A REGULATÍVY OCHRANY A VYUŽÍVANIA PRÍRODNÝCH ZDROJOV, VII. ZÁSADY A REGULATÍVY VYTVÁRANIA A UDRŽIAVANIA EKOLOGICKEJ STABILITY, OCHRANY PRÍRODY A TVORBY KRAJINY, VIII. ZÁSADY A REGULATÍVY STAROSTLIVOSTI O ŽIVOTNÉ PROSTREDIE, IX. VYMEDZENIE ZASTAVANÉHO ÚZEMIA OBCE, X. VYMEDZENIE OCHRANNÝCH PÁSIEM A CHRÁNENÝCH ÚZEMÍ, XI. PLOCHY NA VEREJNOPROSPEŠNÉ STAVBY, NA VYKONANIE DELENIA A SCEĽOVANIE POZEMKOV, NA ASANÁCIU A NA CHRÁNENÉ ČASTI KRAJINY a XII. NASLEDOVNÁ ÚZEMNOPLÁNOVACIA DOKUMENTÁCIA a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i/>
          <w:sz w:val="20"/>
          <w:szCs w:val="20"/>
        </w:rPr>
        <w:t xml:space="preserve">Kapitola XIII. VEREJNOPROSPEŠNÉ STAVBY 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mení a dopĺňa </w:t>
      </w:r>
      <w:r w:rsidRPr="002803BB">
        <w:rPr>
          <w:rFonts w:ascii="Tahoma" w:eastAsia="Times New Roman" w:hAnsi="Tahoma"/>
          <w:i/>
          <w:sz w:val="20"/>
          <w:szCs w:val="20"/>
        </w:rPr>
        <w:t>nasledovne:</w:t>
      </w:r>
    </w:p>
    <w:p w14:paraId="5CCD87A2" w14:textId="77777777" w:rsidR="00537BEE" w:rsidRPr="002803BB" w:rsidRDefault="00537BEE" w:rsidP="00537BEE">
      <w:pPr>
        <w:suppressAutoHyphens w:val="0"/>
        <w:autoSpaceDE w:val="0"/>
        <w:adjustRightInd w:val="0"/>
        <w:ind w:left="3540" w:firstLine="146"/>
        <w:jc w:val="both"/>
        <w:textAlignment w:val="auto"/>
        <w:rPr>
          <w:rFonts w:ascii="Tahoma" w:eastAsia="Times New Roman" w:hAnsi="Tahoma"/>
          <w:b/>
          <w:i/>
          <w:kern w:val="0"/>
          <w:sz w:val="20"/>
          <w:szCs w:val="20"/>
        </w:rPr>
      </w:pPr>
    </w:p>
    <w:p w14:paraId="53D943E4" w14:textId="77777777" w:rsidR="00537BEE" w:rsidRPr="002803BB" w:rsidRDefault="00537BEE" w:rsidP="00537BEE">
      <w:pPr>
        <w:autoSpaceDE w:val="0"/>
        <w:autoSpaceDN/>
        <w:ind w:left="993" w:hanging="285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ZÁSADY A REGULATÍVY PRIESTOROVÉHO USPORIADANIA A FUNKČNÉHO VYUŽÍVANIA ÚZEMIA</w:t>
      </w:r>
    </w:p>
    <w:p w14:paraId="510E6D33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>Riešením ZMENY 06/2023 ÚPN obce sa v časti C. NÁVRH ZÁVÄZNEJ ČASTI - REGULATÍVY ÚZEMNÉHO ROZVOJA kapitola I. ZÁSADY A REGULATÍVY PRIESTOROVÉHO USPORIADANIA A FUNKČNÉHO VYUŽÍVANIA ÚZEMIA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i/>
          <w:sz w:val="20"/>
          <w:szCs w:val="20"/>
        </w:rPr>
        <w:t xml:space="preserve">vrátane je podkapitol I.1. ZÁSADY A REGULATÍVY PRIESTOROVÉHO USPORIADANIA a I.2. ZÁSADY A REGULATÍVY FUNKČNÉHO VYUŽÍVANIA ÚZEMIA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31802288" w14:textId="77777777" w:rsidR="00537BEE" w:rsidRPr="002803BB" w:rsidRDefault="00537BEE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b/>
          <w:i/>
          <w:sz w:val="20"/>
          <w:szCs w:val="20"/>
        </w:rPr>
      </w:pPr>
    </w:p>
    <w:p w14:paraId="1BB98F8E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firstLine="709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II.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PODMIENKY NA VYUŽITIE NAVRHOVANÝCH FUNKČNÝCH  PLÔCH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lang w:eastAsia="ar-SA"/>
        </w:rPr>
        <w:t xml:space="preserve"> </w:t>
      </w:r>
    </w:p>
    <w:p w14:paraId="38C4ED63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jej podkapitoly II.1. CHARAKTERISTIKA A  PODMIENKY VYUŽITIA VYMEDZENÝCH PLÔCH PRE BYTOVÚ VÝSTAVBU, II.2. CHARAKTERISTIKA A  PODMIENKY VYUŽITIA VYMEDZENÝCH PLÔCH PRE SLUŽBY A OBČIANSKU VYBAVENOSŤ, II.3. CHARAKTERISTIKA A PODMIENKY VYUŽITIA VYMEDZENÝCH PLÔCH PRE POĽNOHOSPODÁRSKU A PRIEMYSELNÚ VÝROBU, II.4. CHARAKTERISTIKA A PODMIENKY VYUŽITIA VYMEDZENÝCH PLÔCH PRE ŠPORT A REKREÁCIU a II.5. CHARAKTERISTIKA A PODMIENKY VYUŽITIA VYMEDZENÝCH PLÔCH ZELENE </w:t>
      </w:r>
      <w:r w:rsidRPr="002803BB">
        <w:rPr>
          <w:rFonts w:ascii="Tahoma" w:hAnsi="Tahoma" w:cs="Tahoma"/>
          <w:b/>
          <w:i/>
        </w:rPr>
        <w:t>menia a dopĺňajú</w:t>
      </w:r>
      <w:r w:rsidRPr="002803BB">
        <w:rPr>
          <w:rFonts w:ascii="Tahoma" w:hAnsi="Tahoma" w:cs="Tahoma"/>
          <w:i/>
        </w:rPr>
        <w:t xml:space="preserve"> nasledovne:</w:t>
      </w:r>
    </w:p>
    <w:p w14:paraId="75D3CEA5" w14:textId="77777777" w:rsidR="00537BEE" w:rsidRPr="002803BB" w:rsidRDefault="00537BEE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b/>
          <w:i/>
          <w:sz w:val="20"/>
          <w:szCs w:val="20"/>
        </w:rPr>
      </w:pPr>
    </w:p>
    <w:p w14:paraId="59AB8E6B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t>II.1.</w:t>
      </w:r>
      <w:r w:rsidRPr="002803BB">
        <w:rPr>
          <w:rFonts w:ascii="Tahoma" w:eastAsia="Times New Roman" w:hAnsi="Tahoma"/>
          <w:b/>
          <w:sz w:val="20"/>
          <w:szCs w:val="20"/>
        </w:rPr>
        <w:tab/>
        <w:t xml:space="preserve">CHARAKTERISTIKA A PODMIENKY VYUŽITIA VYMEDZENÝCH PLÔCH PRE BYTOVÚ VÝSTAVBU </w:t>
      </w:r>
    </w:p>
    <w:p w14:paraId="25839017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jej podkapitola II.1. CHARAKTERISTIKA A  PODMIENKY VYUŽITIA VYMEDZENÝCH PLÔCH PRE BYTOVÚ VÝSTAVBU v statiach 1.1. Bytová výstavba </w:t>
      </w:r>
      <w:proofErr w:type="spellStart"/>
      <w:r w:rsidRPr="002803BB">
        <w:rPr>
          <w:rFonts w:ascii="Tahoma" w:hAnsi="Tahoma" w:cs="Tahoma"/>
          <w:i/>
        </w:rPr>
        <w:t>nízkopodlažná</w:t>
      </w:r>
      <w:proofErr w:type="spellEnd"/>
      <w:r w:rsidRPr="002803BB">
        <w:rPr>
          <w:rFonts w:ascii="Tahoma" w:hAnsi="Tahoma" w:cs="Tahoma"/>
          <w:i/>
        </w:rPr>
        <w:t xml:space="preserve"> -rodinné domy </w:t>
      </w:r>
      <w:r w:rsidRPr="002803BB">
        <w:rPr>
          <w:rFonts w:ascii="Tahoma" w:hAnsi="Tahoma" w:cs="Tahoma"/>
          <w:i/>
        </w:rPr>
        <w:tab/>
        <w:t xml:space="preserve">A1 a 1.2. Bytová výstavba viacpodlažná - bytové domy A2 </w:t>
      </w:r>
      <w:r w:rsidRPr="002803BB">
        <w:rPr>
          <w:rFonts w:ascii="Tahoma" w:hAnsi="Tahoma" w:cs="Tahoma"/>
          <w:b/>
          <w:i/>
        </w:rPr>
        <w:t xml:space="preserve">mení a dopĺňa </w:t>
      </w:r>
      <w:r w:rsidRPr="002803BB">
        <w:rPr>
          <w:rFonts w:ascii="Tahoma" w:hAnsi="Tahoma" w:cs="Tahoma"/>
          <w:i/>
        </w:rPr>
        <w:t>nasledovne:</w:t>
      </w:r>
    </w:p>
    <w:p w14:paraId="433B8771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</w:p>
    <w:p w14:paraId="5DC7BFA8" w14:textId="77777777" w:rsidR="00537BEE" w:rsidRPr="002803BB" w:rsidRDefault="00537BEE" w:rsidP="00537BEE">
      <w:pPr>
        <w:shd w:val="clear" w:color="auto" w:fill="FFFFFF"/>
        <w:autoSpaceDE w:val="0"/>
        <w:autoSpaceDN/>
        <w:ind w:firstLine="709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 xml:space="preserve">1.1. Bytová výstavba </w:t>
      </w:r>
      <w:proofErr w:type="spellStart"/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nízkopodlažná</w:t>
      </w:r>
      <w:proofErr w:type="spellEnd"/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 xml:space="preserve"> -rodinné domy </w:t>
      </w: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</w: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  <w:t>A1</w:t>
      </w:r>
    </w:p>
    <w:p w14:paraId="5310866B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 podkapitole II.1. CHARAKTERISTIKA A PODMIENKY VYUŽITIA VYMEDZENÝCH PLÔCH PRE BYTOVÚ VÝSTAVBU stať 1.1. Bytová výstavba </w:t>
      </w:r>
      <w:proofErr w:type="spellStart"/>
      <w:r w:rsidRPr="002803BB">
        <w:rPr>
          <w:rFonts w:ascii="Tahoma" w:hAnsi="Tahoma" w:cs="Tahoma"/>
          <w:i/>
        </w:rPr>
        <w:t>nízkopodlažná</w:t>
      </w:r>
      <w:proofErr w:type="spellEnd"/>
      <w:r w:rsidRPr="002803BB">
        <w:rPr>
          <w:rFonts w:ascii="Tahoma" w:hAnsi="Tahoma" w:cs="Tahoma"/>
          <w:i/>
        </w:rPr>
        <w:t xml:space="preserve"> -rodinné domy A1 </w:t>
      </w:r>
      <w:r w:rsidRPr="002803BB">
        <w:rPr>
          <w:rFonts w:ascii="Tahoma" w:hAnsi="Tahoma" w:cs="Tahoma"/>
          <w:b/>
          <w:i/>
        </w:rPr>
        <w:t xml:space="preserve">mení a dopĺňa </w:t>
      </w:r>
      <w:r w:rsidRPr="002803BB">
        <w:rPr>
          <w:rFonts w:ascii="Tahoma" w:hAnsi="Tahoma" w:cs="Tahoma"/>
          <w:i/>
        </w:rPr>
        <w:t xml:space="preserve">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 xml:space="preserve">, text state je pre prehľadnosť uvádzaný </w:t>
      </w:r>
      <w:r w:rsidRPr="002803BB">
        <w:rPr>
          <w:rFonts w:ascii="Tahoma" w:hAnsi="Tahoma" w:cs="Tahoma"/>
          <w:b/>
          <w:i/>
        </w:rPr>
        <w:t>v plnom znení</w:t>
      </w:r>
      <w:r w:rsidRPr="002803BB">
        <w:rPr>
          <w:rFonts w:ascii="Tahoma" w:hAnsi="Tahoma" w:cs="Tahoma"/>
          <w:i/>
        </w:rPr>
        <w:t>):</w:t>
      </w:r>
    </w:p>
    <w:p w14:paraId="3C019069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Plochy určené na bývanie formou individuálnej bytovej výstavby </w:t>
      </w:r>
      <w:r w:rsidRPr="002803BB">
        <w:rPr>
          <w:rFonts w:ascii="Tahoma" w:hAnsi="Tahoma"/>
          <w:b/>
          <w:i/>
          <w:sz w:val="20"/>
          <w:szCs w:val="20"/>
        </w:rPr>
        <w:t xml:space="preserve">(IBV)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– </w:t>
      </w:r>
      <w:proofErr w:type="spellStart"/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nízkopodlažná</w:t>
      </w:r>
      <w:proofErr w:type="spellEnd"/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zástavba rodinných domov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(RD) na samostatných pozemkoch, so sprievodnou zeleňou a zeleňou v súkromných záhradách.</w:t>
      </w:r>
    </w:p>
    <w:p w14:paraId="230DE84F" w14:textId="77777777" w:rsidR="00D2664A" w:rsidRDefault="00D2664A" w:rsidP="00537BEE">
      <w:pPr>
        <w:shd w:val="clear" w:color="auto" w:fill="FFFFFF"/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6795E235" w14:textId="77777777" w:rsidR="00537BEE" w:rsidRPr="002803BB" w:rsidRDefault="00537BEE" w:rsidP="00537BEE">
      <w:pPr>
        <w:shd w:val="clear" w:color="auto" w:fill="FFFFFF"/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lastRenderedPageBreak/>
        <w:t>Prípustná -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</w:t>
      </w: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základná funkcia:</w:t>
      </w:r>
    </w:p>
    <w:p w14:paraId="7C13FE57" w14:textId="77777777" w:rsidR="00537BEE" w:rsidRPr="002803BB" w:rsidRDefault="00537BEE" w:rsidP="00D2664A">
      <w:pPr>
        <w:shd w:val="clear" w:color="000000" w:fill="FFFFFF"/>
        <w:tabs>
          <w:tab w:val="left" w:pos="993"/>
        </w:tabs>
        <w:autoSpaceDE w:val="0"/>
        <w:adjustRightInd w:val="0"/>
        <w:ind w:left="993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a) bývanie v rodinných domoch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(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samostatne stojacich, radových a átriových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)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s priamym prístupom z jestvujúcej ulice, resp. z komunikácie v navrhovanej lokalite</w:t>
      </w:r>
    </w:p>
    <w:p w14:paraId="26114FCF" w14:textId="77777777" w:rsidR="00537BEE" w:rsidRPr="002803BB" w:rsidRDefault="00537BEE" w:rsidP="00537BEE">
      <w:pPr>
        <w:shd w:val="clear" w:color="auto" w:fill="FFFFFF"/>
        <w:autoSpaceDE w:val="0"/>
        <w:autoSpaceDN/>
        <w:spacing w:before="60"/>
        <w:ind w:left="993" w:hanging="284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Vhodné funkcie:</w:t>
      </w:r>
    </w:p>
    <w:p w14:paraId="012F89F3" w14:textId="77777777" w:rsidR="00537BEE" w:rsidRPr="002803BB" w:rsidRDefault="00537BEE" w:rsidP="00537BEE">
      <w:pPr>
        <w:shd w:val="clear" w:color="auto" w:fill="FFFFFF"/>
        <w:autoSpaceDE w:val="0"/>
        <w:autoSpaceDN/>
        <w:spacing w:before="60"/>
        <w:ind w:left="993" w:hanging="284"/>
        <w:jc w:val="both"/>
        <w:textAlignment w:val="auto"/>
        <w:rPr>
          <w:rFonts w:ascii="Tahoma" w:eastAsia="Times New Roman" w:hAnsi="Tahoma"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b) zeleň </w:t>
      </w:r>
      <w:r w:rsidRPr="002803BB">
        <w:rPr>
          <w:rFonts w:ascii="Tahoma" w:hAnsi="Tahoma"/>
          <w:b/>
          <w:i/>
          <w:sz w:val="20"/>
          <w:szCs w:val="20"/>
        </w:rPr>
        <w:t xml:space="preserve">v rámci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pozemk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u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</w:t>
      </w:r>
      <w:r w:rsidRPr="002803BB">
        <w:rPr>
          <w:rFonts w:ascii="Tahoma" w:hAnsi="Tahoma"/>
          <w:b/>
          <w:i/>
          <w:sz w:val="20"/>
          <w:szCs w:val="20"/>
        </w:rPr>
        <w:t>(okrasná a úžitková zeleň)</w:t>
      </w:r>
      <w:r w:rsidRPr="002803BB">
        <w:rPr>
          <w:rFonts w:ascii="Tahoma" w:hAnsi="Tahoma"/>
          <w:sz w:val="20"/>
          <w:szCs w:val="20"/>
        </w:rPr>
        <w:t xml:space="preserve">,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priestory s parkovo upravenou zeleňou a líniovou uličnou zeleňou, </w:t>
      </w:r>
      <w:r w:rsidRPr="002803BB">
        <w:rPr>
          <w:rFonts w:ascii="Tahoma" w:hAnsi="Tahoma"/>
          <w:b/>
          <w:i/>
          <w:sz w:val="20"/>
          <w:szCs w:val="20"/>
        </w:rPr>
        <w:t>produkčná zeleň, ovocné stromy,</w:t>
      </w:r>
      <w:r w:rsidRPr="002803BB">
        <w:rPr>
          <w:rFonts w:ascii="Tahoma" w:hAnsi="Tahoma"/>
          <w:sz w:val="20"/>
          <w:szCs w:val="20"/>
        </w:rPr>
        <w:t xml:space="preserve"> </w:t>
      </w:r>
    </w:p>
    <w:p w14:paraId="17CBE946" w14:textId="77777777" w:rsidR="00537BEE" w:rsidRPr="002803BB" w:rsidRDefault="00537BEE" w:rsidP="00537BEE">
      <w:pPr>
        <w:shd w:val="clear" w:color="000000" w:fill="FFFFFF"/>
        <w:tabs>
          <w:tab w:val="left" w:pos="993"/>
        </w:tabs>
        <w:suppressAutoHyphens w:val="0"/>
        <w:autoSpaceDE w:val="0"/>
        <w:adjustRightInd w:val="0"/>
        <w:ind w:left="993" w:hanging="285"/>
        <w:jc w:val="both"/>
        <w:textAlignment w:val="auto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c)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drobné stavby v rámci pozemkov rodinných domov s doplnkovou funkciou k bývaniu (prístrešky, altánky, bazény, sklady náradia a pod.),</w:t>
      </w:r>
    </w:p>
    <w:p w14:paraId="04C0EC8A" w14:textId="77777777" w:rsidR="00537BEE" w:rsidRPr="002803BB" w:rsidRDefault="00537BEE" w:rsidP="00537BEE">
      <w:pPr>
        <w:shd w:val="clear" w:color="000000" w:fill="FFFFFF"/>
        <w:tabs>
          <w:tab w:val="left" w:pos="993"/>
        </w:tabs>
        <w:autoSpaceDE w:val="0"/>
        <w:adjustRightInd w:val="0"/>
        <w:ind w:left="993" w:hanging="285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d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) </w:t>
      </w:r>
      <w:r w:rsidRPr="002803BB">
        <w:rPr>
          <w:rFonts w:ascii="Tahoma" w:hAnsi="Tahoma"/>
          <w:b/>
          <w:i/>
          <w:sz w:val="20"/>
          <w:szCs w:val="20"/>
        </w:rPr>
        <w:t>súčasťou pozemkov</w:t>
      </w:r>
      <w:r w:rsidRPr="002803BB">
        <w:rPr>
          <w:rFonts w:ascii="Tahoma" w:hAnsi="Tahoma"/>
          <w:sz w:val="20"/>
          <w:szCs w:val="20"/>
        </w:rPr>
        <w:t> 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rodinný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ch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domo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v </w:t>
      </w:r>
      <w:r w:rsidRPr="002803BB">
        <w:rPr>
          <w:rFonts w:ascii="Tahoma" w:hAnsi="Tahoma"/>
          <w:b/>
          <w:i/>
          <w:sz w:val="20"/>
          <w:szCs w:val="20"/>
        </w:rPr>
        <w:t>sú aj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plochy technickej vybavenosti a príslušné pešie, cyklistické a motorové komunikácie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(vjazdy, parkoviská, chodníky, prípojky sietí...),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</w:t>
      </w:r>
    </w:p>
    <w:p w14:paraId="783F1B65" w14:textId="77777777" w:rsidR="00537BEE" w:rsidRPr="002803BB" w:rsidRDefault="00537BEE" w:rsidP="00537BEE">
      <w:pPr>
        <w:shd w:val="clear" w:color="auto" w:fill="FFFFFF"/>
        <w:autoSpaceDE w:val="0"/>
        <w:autoSpaceDN/>
        <w:ind w:left="993" w:hanging="285"/>
        <w:jc w:val="both"/>
        <w:textAlignment w:val="auto"/>
        <w:rPr>
          <w:rFonts w:ascii="Tahoma" w:eastAsia="Times New Roman" w:hAnsi="Tahoma"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e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) zariadenia malej administratívy, obchodu, ubytovania a služieb, zdravotnícke a sociálne zariadenia </w:t>
      </w:r>
      <w:r w:rsidRPr="002803BB">
        <w:rPr>
          <w:rFonts w:ascii="Tahoma" w:hAnsi="Tahoma"/>
          <w:b/>
          <w:i/>
          <w:sz w:val="20"/>
          <w:szCs w:val="20"/>
        </w:rPr>
        <w:t xml:space="preserve">v rámci objektu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rodinné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ho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dom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u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nenarúšajúce obytné prostredie a neprekračujúce stanovený rozsah zástavby </w:t>
      </w:r>
      <w:r w:rsidRPr="002803BB">
        <w:rPr>
          <w:rFonts w:ascii="Tahoma" w:hAnsi="Tahoma"/>
          <w:b/>
          <w:i/>
          <w:sz w:val="20"/>
          <w:szCs w:val="20"/>
        </w:rPr>
        <w:t>(max 50% objemu stavby RD),</w:t>
      </w:r>
    </w:p>
    <w:p w14:paraId="280AEF29" w14:textId="77777777" w:rsidR="00537BEE" w:rsidRPr="002803BB" w:rsidRDefault="00537BEE" w:rsidP="00537BEE">
      <w:pPr>
        <w:shd w:val="clear" w:color="auto" w:fill="FFFFFF"/>
        <w:autoSpaceDE w:val="0"/>
        <w:autoSpaceDN/>
        <w:ind w:left="993" w:hanging="285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Podmienečne vhodné funkcie:</w:t>
      </w:r>
    </w:p>
    <w:p w14:paraId="4685C4B2" w14:textId="77777777" w:rsidR="00537BEE" w:rsidRPr="002803BB" w:rsidRDefault="00537BEE" w:rsidP="00537BEE">
      <w:pPr>
        <w:shd w:val="clear" w:color="auto" w:fill="FFFFFF"/>
        <w:autoSpaceDE w:val="0"/>
        <w:autoSpaceDN/>
        <w:spacing w:before="60"/>
        <w:ind w:left="993" w:hanging="284"/>
        <w:jc w:val="both"/>
        <w:textAlignment w:val="auto"/>
        <w:rPr>
          <w:rFonts w:ascii="Tahoma" w:eastAsia="Times New Roman" w:hAnsi="Tahoma"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f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) na plochách súkromných záhrad </w:t>
      </w:r>
      <w:r w:rsidRPr="002803BB">
        <w:rPr>
          <w:rFonts w:ascii="Tahoma" w:hAnsi="Tahoma"/>
          <w:b/>
          <w:i/>
          <w:sz w:val="20"/>
          <w:szCs w:val="20"/>
        </w:rPr>
        <w:t>(v rámci pozemku RD)</w:t>
      </w:r>
      <w:r w:rsidRPr="002803BB">
        <w:rPr>
          <w:rFonts w:ascii="Tahoma" w:hAnsi="Tahoma"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realizovanie poľnohospodárskych činností v malom rozsahu </w:t>
      </w:r>
      <w:proofErr w:type="spellStart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t.j</w:t>
      </w:r>
      <w:proofErr w:type="spellEnd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.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na úrovni malovýroby ako súčasť </w:t>
      </w:r>
      <w:r w:rsidRPr="002803BB">
        <w:rPr>
          <w:rFonts w:ascii="Tahoma" w:hAnsi="Tahoma"/>
          <w:b/>
          <w:i/>
          <w:sz w:val="20"/>
          <w:szCs w:val="20"/>
        </w:rPr>
        <w:t xml:space="preserve">základnej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funkcie vo vzdialenosti zamedzujúcej negatívny vplyv na okolitú obytnú zástavbu (rastlinná výroba, drobnochov hospodárskych zvierat) </w:t>
      </w:r>
    </w:p>
    <w:p w14:paraId="14D7C179" w14:textId="77777777" w:rsidR="00537BEE" w:rsidRPr="002803BB" w:rsidRDefault="00537BEE" w:rsidP="00537BEE">
      <w:pPr>
        <w:shd w:val="clear" w:color="auto" w:fill="FFFFFF"/>
        <w:autoSpaceDE w:val="0"/>
        <w:autoSpaceDN/>
        <w:ind w:left="993" w:hanging="285"/>
        <w:jc w:val="both"/>
        <w:textAlignment w:val="auto"/>
        <w:rPr>
          <w:rFonts w:ascii="Tahoma" w:eastAsia="Times New Roman" w:hAnsi="Tahoma"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g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) zariadenia nezávadných prevádzok a remesiel (vo vyčlenených priestoroch rodinných domov) </w:t>
      </w:r>
      <w:r w:rsidRPr="002803BB">
        <w:rPr>
          <w:rFonts w:ascii="Tahoma" w:hAnsi="Tahoma"/>
          <w:b/>
          <w:i/>
          <w:sz w:val="20"/>
          <w:szCs w:val="20"/>
        </w:rPr>
        <w:t>neprekračujúce stanovený rozsah v rámci objektu rodinného domu (max 50% objemu stavby RD),</w:t>
      </w:r>
      <w:r w:rsidRPr="002803BB">
        <w:rPr>
          <w:rFonts w:ascii="Tahoma" w:hAnsi="Tahoma"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bez negatívnych vplyvov na životné prostredie a susednú obytnú zástavbu</w:t>
      </w:r>
    </w:p>
    <w:p w14:paraId="34260C82" w14:textId="77777777" w:rsidR="00537BEE" w:rsidRPr="002803BB" w:rsidRDefault="00537BEE" w:rsidP="00537BEE">
      <w:pPr>
        <w:shd w:val="clear" w:color="auto" w:fill="FFFFFF"/>
        <w:autoSpaceDE w:val="0"/>
        <w:autoSpaceDN/>
        <w:ind w:left="993" w:hanging="285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Neprípustne funkcie:</w:t>
      </w:r>
    </w:p>
    <w:p w14:paraId="32BAB0FE" w14:textId="77777777" w:rsidR="00537BEE" w:rsidRPr="002803BB" w:rsidRDefault="00537BEE" w:rsidP="00537BEE">
      <w:pPr>
        <w:shd w:val="clear" w:color="000000" w:fill="FFFFFF"/>
        <w:autoSpaceDE w:val="0"/>
        <w:adjustRightInd w:val="0"/>
        <w:spacing w:before="60"/>
        <w:ind w:left="993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h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) samostatné objekty výroby, skladov a prevádzok</w:t>
      </w:r>
      <w:r w:rsidRPr="002803BB">
        <w:rPr>
          <w:rFonts w:ascii="Tahoma" w:hAnsi="Tahoma"/>
          <w:b/>
          <w:i/>
          <w:sz w:val="20"/>
          <w:szCs w:val="20"/>
        </w:rPr>
        <w:t xml:space="preserve"> v rámci pozemku RD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s negatívnymi dopadmi na funkciu bývania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okrem drobných stavieb, ktoré tvoria doplnkovú funkciu k plochám bývania v RD (sklady náradia, ovocia a zeleniny, prístrešky pre drobné zvieratá...), </w:t>
      </w:r>
    </w:p>
    <w:p w14:paraId="3F24CAFA" w14:textId="77777777" w:rsidR="00537BEE" w:rsidRPr="002803BB" w:rsidRDefault="00537BEE" w:rsidP="00537BEE">
      <w:pPr>
        <w:shd w:val="clear" w:color="000000" w:fill="FFFFFF"/>
        <w:autoSpaceDE w:val="0"/>
        <w:adjustRightInd w:val="0"/>
        <w:ind w:left="993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i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) všetky druh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y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</w:t>
      </w:r>
      <w:r w:rsidRPr="002803BB">
        <w:rPr>
          <w:rFonts w:ascii="Tahoma" w:hAnsi="Tahoma"/>
          <w:b/>
          <w:i/>
          <w:sz w:val="20"/>
          <w:szCs w:val="20"/>
        </w:rPr>
        <w:t>ostatných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činností, ktoré by svojimi negatívnymi vplyvmi </w:t>
      </w:r>
      <w:r w:rsidRPr="002803BB">
        <w:rPr>
          <w:rFonts w:ascii="Tahoma" w:hAnsi="Tahoma"/>
          <w:b/>
          <w:i/>
          <w:sz w:val="20"/>
          <w:szCs w:val="20"/>
        </w:rPr>
        <w:t xml:space="preserve">(hlukom, prašnosťou, zápachom, vibráciami, zvýšeným výskytom hlodavcov, optickým  žiarením, účinkami nebezpečných chemických látok, intenzívnou obslužnou dopravou a inými škodlivými a nepríjemnými zápachmi)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priamo alebo nepriamo obmedzili využitie susedných plôch pre účely bývania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 v dotknutej lokalite.</w:t>
      </w:r>
    </w:p>
    <w:p w14:paraId="018BB656" w14:textId="77777777" w:rsidR="00537BEE" w:rsidRPr="002803BB" w:rsidRDefault="00537BEE" w:rsidP="00537BEE">
      <w:pPr>
        <w:shd w:val="clear" w:color="auto" w:fill="FFFFFF"/>
        <w:autoSpaceDE w:val="0"/>
        <w:autoSpaceDN/>
        <w:jc w:val="both"/>
        <w:textAlignment w:val="auto"/>
        <w:rPr>
          <w:rFonts w:ascii="Tahoma" w:eastAsia="Times New Roman" w:hAnsi="Tahoma"/>
          <w:kern w:val="0"/>
          <w:sz w:val="20"/>
          <w:szCs w:val="20"/>
          <w:lang w:eastAsia="ar-SA"/>
        </w:rPr>
      </w:pPr>
    </w:p>
    <w:p w14:paraId="67DEA8BA" w14:textId="77777777" w:rsidR="00537BEE" w:rsidRPr="002803BB" w:rsidRDefault="00537BEE" w:rsidP="00537BEE">
      <w:pPr>
        <w:shd w:val="clear" w:color="auto" w:fill="FFFFFF"/>
        <w:autoSpaceDE w:val="0"/>
        <w:jc w:val="both"/>
        <w:rPr>
          <w:rFonts w:ascii="Tahoma" w:eastAsia="Times New Roman" w:hAnsi="Tahoma"/>
          <w:b/>
          <w:i/>
          <w:kern w:val="0"/>
          <w:sz w:val="20"/>
          <w:szCs w:val="20"/>
          <w:u w:val="single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u w:val="single"/>
          <w:lang w:eastAsia="ar-SA"/>
        </w:rPr>
        <w:t>Podmienky na využitie vymedzených plôch pre bývanie v rodinných domoch (A1) :</w:t>
      </w:r>
    </w:p>
    <w:p w14:paraId="63FBDD35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1/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 xml:space="preserve">hustota, členenie a výškové </w:t>
      </w:r>
      <w:proofErr w:type="spellStart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zónovanie</w:t>
      </w:r>
      <w:proofErr w:type="spellEnd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 zástavby v rodinných domoch musí umožňovať najmä - dodržiavanie odstupov a vzdialeností potrebných na oslnenie a presvetlenie bytov, na zachovanie intimity a pohody bývania, na zabezpečenie požiarnej ochrany a pod. (§ 6, odsek 1/ vyhlášky č. 532/2002 </w:t>
      </w:r>
      <w:proofErr w:type="spellStart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Z.z</w:t>
      </w:r>
      <w:proofErr w:type="spellEnd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.) a na vytváranie plôch zelene v rámci pozemku,</w:t>
      </w:r>
    </w:p>
    <w:p w14:paraId="5062264D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2/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výmera stavebného pozemku pre RD v navrhovaných lokalitách rodinných domov A1-1 až A1-10 a pre RD v  jestvujúcej zástavbe v prielukách, resp. po asanácii RD, je min. 500 m2 (táto výmera neplatí na pozemok pre jestvujúci RD pri rekonštrukcii, resp. pri prístavbe k RD),</w:t>
      </w:r>
    </w:p>
    <w:p w14:paraId="60642EF6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3/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výmera stavebného pozemku pre jestvujúci RD pri rekonštrukcii s realizáciou prístavby k RD je min. 400 m2,</w:t>
      </w:r>
    </w:p>
    <w:p w14:paraId="7E6A8F25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4/</w:t>
      </w:r>
      <w:r w:rsidRPr="002803BB">
        <w:rPr>
          <w:rFonts w:ascii="Tahoma" w:eastAsia="Times New Roman" w:hAnsi="Tahoma"/>
          <w:b/>
          <w:i/>
          <w:sz w:val="20"/>
          <w:szCs w:val="20"/>
        </w:rPr>
        <w:tab/>
      </w:r>
      <w:r w:rsidRPr="002803BB">
        <w:rPr>
          <w:rFonts w:ascii="Tahoma" w:eastAsia="Times New Roman" w:hAnsi="Tahoma"/>
          <w:sz w:val="20"/>
          <w:szCs w:val="20"/>
        </w:rPr>
        <w:t>koeficient zastavan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osti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- plocha objektu RD (pre všetky A1) je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max.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 30 % z plochy pozemku pre RD, </w:t>
      </w:r>
    </w:p>
    <w:p w14:paraId="59028157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5/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minimálny podiel zelene (pre všetky A1) je 50 % z celkovej plochy pozemku pre RD,</w:t>
      </w:r>
    </w:p>
    <w:p w14:paraId="5028CD08" w14:textId="77777777" w:rsidR="00537BEE" w:rsidRPr="002803BB" w:rsidRDefault="00537BEE" w:rsidP="00537BEE">
      <w:pPr>
        <w:widowControl/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6/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v navrhovaných lokalitách rodinných domov A1-1 až A1-10 je stavebná čiara objektov RD od uličnej čiary min. 5 m a max. 7 m,</w:t>
      </w:r>
    </w:p>
    <w:p w14:paraId="484E915C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7/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 xml:space="preserve">pri rekonštrukcii jestvujúceho rodinného domu, pri výstavbe nového RD na jestvujúcom pozemku po asanácii pôvodného RD, resp. pri stavbe rodinnému domu v prieluke musí byť zohľadnená jestvujúca stavebná čiara, resp. stavebná čiara na susedných pozemkoch; pri RD u ktorých je stavebná čiara totožná s uličnou čiarou (uličná hranica pozemku) môže byť stavebná čiara zasunutá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lastRenderedPageBreak/>
        <w:t xml:space="preserve">o max. 3 m od uličnej čiary, </w:t>
      </w:r>
    </w:p>
    <w:p w14:paraId="092B4E04" w14:textId="77777777" w:rsidR="00537BEE" w:rsidRPr="002803BB" w:rsidRDefault="00537BEE" w:rsidP="00537BEE">
      <w:pPr>
        <w:shd w:val="clear" w:color="auto" w:fill="FFFFFF"/>
        <w:tabs>
          <w:tab w:val="left" w:pos="2065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sz w:val="20"/>
          <w:szCs w:val="20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8/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v navrhovaných lokalitách rodinných domov A1-1 až A1-10 je povolená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sz w:val="20"/>
          <w:szCs w:val="20"/>
        </w:rPr>
        <w:t>maximáln</w:t>
      </w:r>
      <w:r w:rsidRPr="002803BB">
        <w:rPr>
          <w:rFonts w:ascii="Tahoma" w:eastAsia="Times New Roman" w:hAnsi="Tahoma"/>
          <w:b/>
          <w:i/>
          <w:sz w:val="20"/>
          <w:szCs w:val="20"/>
        </w:rPr>
        <w:t>a</w:t>
      </w:r>
      <w:r w:rsidRPr="002803BB">
        <w:rPr>
          <w:rFonts w:ascii="Tahoma" w:eastAsia="Times New Roman" w:hAnsi="Tahoma"/>
          <w:sz w:val="20"/>
          <w:szCs w:val="20"/>
        </w:rPr>
        <w:t xml:space="preserve"> </w:t>
      </w:r>
      <w:proofErr w:type="spellStart"/>
      <w:r w:rsidRPr="002803BB">
        <w:rPr>
          <w:rFonts w:ascii="Tahoma" w:eastAsia="Times New Roman" w:hAnsi="Tahoma"/>
          <w:sz w:val="20"/>
          <w:szCs w:val="20"/>
        </w:rPr>
        <w:t>podlažnosť</w:t>
      </w:r>
      <w:proofErr w:type="spellEnd"/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objektov RD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sz w:val="20"/>
          <w:szCs w:val="20"/>
        </w:rPr>
        <w:t>nad terénom 1 nadzemné podlažie a obytné podkrovie, resp. 2 nadzemné podlažia,</w:t>
      </w:r>
    </w:p>
    <w:p w14:paraId="5D5CAFE4" w14:textId="77777777" w:rsidR="00537BEE" w:rsidRPr="002803BB" w:rsidRDefault="00537BEE" w:rsidP="00537BEE">
      <w:pPr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9/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</w:r>
      <w:r w:rsidR="009D2405" w:rsidRPr="009D2405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pri rekonštrukcii a prístavbe jestvujúceho RD, pri výstavbe nového RD na jestvujúcom pozemku po asanácii pôvodného RD, resp. pri stavbe nového rodinného domu v prieluke musí objekt RD rešpektovať jestvujúcu vidiecku zástavbu</w:t>
      </w:r>
    </w:p>
    <w:p w14:paraId="47D49FC2" w14:textId="77777777" w:rsidR="00537BEE" w:rsidRPr="002803BB" w:rsidRDefault="00537BEE" w:rsidP="00537BEE">
      <w:pPr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10/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stavby v záhrade v rámci pozemku rodinného domu môžu byť iba s doplnkovou funkciou k bývaniu (prístrešky, altánky, sklady náradia a pod.), stavby musia byť prízemné a musia spĺňať kritéria max. koeficientu zastavanosti pozemku a min. podielu zelene (viď body 4/, 5/ podmienok),</w:t>
      </w:r>
    </w:p>
    <w:p w14:paraId="4301BED3" w14:textId="77777777" w:rsidR="00537BEE" w:rsidRPr="002803BB" w:rsidRDefault="00537BEE" w:rsidP="00537BEE">
      <w:pPr>
        <w:shd w:val="clear" w:color="auto" w:fill="FFFFFF"/>
        <w:tabs>
          <w:tab w:val="left" w:pos="1134"/>
          <w:tab w:val="left" w:pos="2632"/>
        </w:tabs>
        <w:autoSpaceDE w:val="0"/>
        <w:ind w:left="993" w:right="-1" w:hanging="284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11/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 xml:space="preserve">v nadmernej záhrade, </w:t>
      </w:r>
      <w:proofErr w:type="spellStart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t.j</w:t>
      </w:r>
      <w:proofErr w:type="spellEnd"/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. za jestvujúcim pozemkom RD, môže byť vytvorený iba jeden „ďalší“ stavebný pozemok o  výmere min 500 m2, v ktorom môže byť situovaný jeden objekt RD a ktorý musí byť dopravne prístupný z jestvujúcej ulice; tento „ďalší“ stavebný pozemok musí taktiež spĺňať kritéria max. zastavanosti a min. plôch zelene na pozemku (viď body 4/, 5/ podmienok), </w:t>
      </w:r>
    </w:p>
    <w:p w14:paraId="35028D54" w14:textId="77777777" w:rsidR="00537BEE" w:rsidRPr="002803BB" w:rsidRDefault="00537BEE" w:rsidP="00537BEE">
      <w:pPr>
        <w:shd w:val="clear" w:color="auto" w:fill="FFFFFF"/>
        <w:tabs>
          <w:tab w:val="left" w:pos="1134"/>
        </w:tabs>
        <w:autoSpaceDE w:val="0"/>
        <w:autoSpaceDN/>
        <w:ind w:left="993" w:hanging="284"/>
        <w:jc w:val="both"/>
        <w:textAlignment w:val="auto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12/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ab/>
        <w:t>parkovanie vozidiel vlastníkov pozemkov, resp. prípadných prevádzkovateľov, musí byť v rámci pozemku RD a v rozsahu platných predpisov.</w:t>
      </w:r>
    </w:p>
    <w:p w14:paraId="3DF49FD7" w14:textId="77777777" w:rsidR="00537BEE" w:rsidRPr="002803BB" w:rsidRDefault="00537BEE" w:rsidP="00537BEE">
      <w:pPr>
        <w:shd w:val="clear" w:color="auto" w:fill="FFFFFF"/>
        <w:tabs>
          <w:tab w:val="num" w:pos="1070"/>
          <w:tab w:val="left" w:pos="1988"/>
        </w:tabs>
        <w:suppressAutoHyphens w:val="0"/>
        <w:autoSpaceDE w:val="0"/>
        <w:spacing w:before="120" w:line="274" w:lineRule="exact"/>
        <w:ind w:right="23"/>
        <w:jc w:val="both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Záväznosť :</w:t>
      </w:r>
    </w:p>
    <w:p w14:paraId="6CA4CA27" w14:textId="77777777" w:rsidR="00537BEE" w:rsidRPr="002803BB" w:rsidRDefault="00537BEE" w:rsidP="00537BEE">
      <w:pPr>
        <w:shd w:val="clear" w:color="auto" w:fill="FFFFFF"/>
        <w:tabs>
          <w:tab w:val="num" w:pos="1070"/>
          <w:tab w:val="left" w:pos="1988"/>
        </w:tabs>
        <w:suppressAutoHyphens w:val="0"/>
        <w:autoSpaceDE w:val="0"/>
        <w:spacing w:line="274" w:lineRule="exact"/>
        <w:ind w:right="20"/>
        <w:jc w:val="both"/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Regulatívy a doplňujúce ustanovenia navrhované v ZMENE 06/2023 ÚPN obce Trakovice sú záväzná od dátumu nadobudnutia účinnosti VZN, ktorým sa vyhlasuje záväzná časť schválenej ZMENY 06/2023 ÚPN obce Trakovice. Nevzťahujú sa pre pozemky a stavby RD, na ktoré bolo zahájené územné resp. stavebné konanie pred nadobudnutím účinnosti tohto VZN.</w:t>
      </w:r>
    </w:p>
    <w:p w14:paraId="08EC2C36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</w:p>
    <w:p w14:paraId="6768D8C6" w14:textId="77777777" w:rsidR="00537BEE" w:rsidRPr="002803BB" w:rsidRDefault="00537BEE" w:rsidP="00537BEE">
      <w:pPr>
        <w:shd w:val="clear" w:color="auto" w:fill="FFFFFF"/>
        <w:tabs>
          <w:tab w:val="left" w:pos="709"/>
          <w:tab w:val="left" w:pos="1276"/>
        </w:tabs>
        <w:autoSpaceDE w:val="0"/>
        <w:autoSpaceDN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  <w:t>1.2. Bytová výstavba viacpodlažná - bytové domy</w:t>
      </w: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</w: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  <w:t>A2</w:t>
      </w:r>
    </w:p>
    <w:p w14:paraId="3C5116DF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v jej podkapitole II.1. CHARAKTERISTIKA A  PODMIENKY VYUŽITIA VYMEDZENÝCH PLÔCH PRE BYTOVÚ VÝSTAVBU stať 1.2. Bytová výstavba viacpodlažná - bytové domy A2 </w:t>
      </w:r>
      <w:r w:rsidRPr="002803BB">
        <w:rPr>
          <w:rFonts w:ascii="Tahoma" w:hAnsi="Tahoma" w:cs="Tahoma"/>
          <w:b/>
          <w:i/>
        </w:rPr>
        <w:t>nemení.</w:t>
      </w:r>
    </w:p>
    <w:p w14:paraId="0DE734EB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</w:p>
    <w:p w14:paraId="79E5CEEB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t>II.2.</w:t>
      </w:r>
      <w:r w:rsidRPr="002803BB">
        <w:rPr>
          <w:rFonts w:ascii="Tahoma" w:eastAsia="Times New Roman" w:hAnsi="Tahoma"/>
          <w:b/>
          <w:sz w:val="20"/>
          <w:szCs w:val="20"/>
        </w:rPr>
        <w:tab/>
        <w:t>CHARAKTERISTIKA A PODMIENKY VYUŽITIA VYMEDZENÝCH PLÔCH PRE SLUŽBY A OBČIANSKU VYBAVENOSŤ</w:t>
      </w:r>
    </w:p>
    <w:p w14:paraId="00400C61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jej podkapitola II.2. CHARAKTERISTIKA A  PODMIENKY VYUŽITIA VYMEDZENÝCH PLÔCH PRE SLUŽBY A OBČIANSKU VYBAVENOSŤ </w:t>
      </w:r>
      <w:r w:rsidRPr="002803BB">
        <w:rPr>
          <w:rFonts w:ascii="Tahoma" w:hAnsi="Tahoma" w:cs="Tahoma"/>
          <w:b/>
          <w:i/>
        </w:rPr>
        <w:t>nemení.</w:t>
      </w:r>
    </w:p>
    <w:p w14:paraId="34279438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ind w:firstLine="709"/>
        <w:jc w:val="both"/>
        <w:rPr>
          <w:rFonts w:ascii="Tahoma" w:hAnsi="Tahoma" w:cs="Tahoma"/>
          <w:b/>
        </w:rPr>
      </w:pPr>
    </w:p>
    <w:p w14:paraId="6D6DFDE9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t>II.3.</w:t>
      </w:r>
      <w:r w:rsidRPr="002803BB">
        <w:rPr>
          <w:rFonts w:ascii="Tahoma" w:eastAsia="Times New Roman" w:hAnsi="Tahoma"/>
          <w:b/>
          <w:sz w:val="20"/>
          <w:szCs w:val="20"/>
        </w:rPr>
        <w:tab/>
        <w:t>CHARAKTERISTIKA A ODMIENKY VYUŽITIA VYMEDZENÝCH PLÔCH PRE POĽNOHOSPODÁRSKU A PRIEMYSELNÚ VÝROBU</w:t>
      </w:r>
    </w:p>
    <w:p w14:paraId="2FB2CC81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jej podkapitola II.3. CHARAKTERISTIKA A ODMIENKY VYUŽITIA VYMEDZENÝCH PLÔCH PRE POĽNOHOSPODÁRSKU A PRIEMYSELNÚ VÝROBU </w:t>
      </w:r>
      <w:r w:rsidRPr="002803BB">
        <w:rPr>
          <w:rFonts w:ascii="Tahoma" w:hAnsi="Tahoma" w:cs="Tahoma"/>
          <w:b/>
          <w:i/>
        </w:rPr>
        <w:t>nemení.</w:t>
      </w:r>
    </w:p>
    <w:p w14:paraId="795C4A40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ind w:firstLine="709"/>
        <w:jc w:val="both"/>
        <w:rPr>
          <w:rFonts w:ascii="Tahoma" w:hAnsi="Tahoma" w:cs="Tahoma"/>
          <w:b/>
        </w:rPr>
      </w:pPr>
    </w:p>
    <w:p w14:paraId="64996DD6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t>II.4.</w:t>
      </w:r>
      <w:r w:rsidRPr="002803BB">
        <w:rPr>
          <w:rFonts w:ascii="Tahoma" w:eastAsia="Times New Roman" w:hAnsi="Tahoma"/>
          <w:b/>
          <w:sz w:val="20"/>
          <w:szCs w:val="20"/>
        </w:rPr>
        <w:tab/>
        <w:t>CHARAKTERISTIKA A PODMIENKY VYUŽITIA VYMEDZENÝCH PLÔCH PRE ŠPORT A REKREÁCIU</w:t>
      </w:r>
    </w:p>
    <w:p w14:paraId="6D179CDB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jej podkapitola II.4. CHARAKTERISTIKA A PODMIENKY VYUŽITIA VYMEDZENÝCH PLÔCH PRE ŠPORT A REKREÁCIU </w:t>
      </w:r>
      <w:r w:rsidRPr="002803BB">
        <w:rPr>
          <w:rFonts w:ascii="Tahoma" w:hAnsi="Tahoma" w:cs="Tahoma"/>
          <w:b/>
          <w:i/>
        </w:rPr>
        <w:t>nemení.</w:t>
      </w:r>
    </w:p>
    <w:p w14:paraId="3DE96FE6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ind w:firstLine="709"/>
        <w:jc w:val="both"/>
        <w:rPr>
          <w:rFonts w:ascii="Tahoma" w:hAnsi="Tahoma" w:cs="Tahoma"/>
          <w:b/>
        </w:rPr>
      </w:pPr>
    </w:p>
    <w:p w14:paraId="3F76AB96" w14:textId="77777777" w:rsidR="00537BEE" w:rsidRPr="002803BB" w:rsidRDefault="00537BEE" w:rsidP="00537BEE">
      <w:pPr>
        <w:widowControl/>
        <w:shd w:val="clear" w:color="auto" w:fill="FFFFFF"/>
        <w:ind w:left="1276" w:hanging="567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t>II.5.</w:t>
      </w:r>
      <w:r w:rsidRPr="002803BB">
        <w:rPr>
          <w:rFonts w:ascii="Tahoma" w:eastAsia="Times New Roman" w:hAnsi="Tahoma"/>
          <w:b/>
          <w:sz w:val="20"/>
          <w:szCs w:val="20"/>
        </w:rPr>
        <w:tab/>
        <w:t>CHARAKTERISTIKA A PODMIENKY VYUŽITIA VYMEDZENÝCH PLÔCH ZELENE</w:t>
      </w:r>
    </w:p>
    <w:p w14:paraId="46A17BF3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i/>
        </w:rPr>
        <w:t xml:space="preserve">Riešením ZMENY 06/2023 ÚPN obce sa v kapitole II. PODMIENKY NA VYUŽITIE NAVRHOVANÝCH FUNKČNÝCH PLÔCH jej podkapitola II.5. CHARAKTERISTIKA A PODMIENKY VYUŽITIA VYMEDZENÝCH PLÔCH ZELENE </w:t>
      </w:r>
      <w:r w:rsidRPr="002803BB">
        <w:rPr>
          <w:rFonts w:ascii="Tahoma" w:hAnsi="Tahoma" w:cs="Tahoma"/>
          <w:b/>
          <w:i/>
        </w:rPr>
        <w:t>nemení.</w:t>
      </w:r>
    </w:p>
    <w:p w14:paraId="3C1CE6AE" w14:textId="77777777" w:rsidR="00537BEE" w:rsidRDefault="00537BEE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sz w:val="20"/>
          <w:szCs w:val="20"/>
        </w:rPr>
      </w:pPr>
    </w:p>
    <w:p w14:paraId="3BCA6D0A" w14:textId="77777777" w:rsidR="00E5550F" w:rsidRDefault="00E5550F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sz w:val="20"/>
          <w:szCs w:val="20"/>
        </w:rPr>
      </w:pPr>
    </w:p>
    <w:p w14:paraId="5FC5EB94" w14:textId="77777777" w:rsidR="00E5550F" w:rsidRDefault="00E5550F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sz w:val="20"/>
          <w:szCs w:val="20"/>
        </w:rPr>
      </w:pPr>
    </w:p>
    <w:p w14:paraId="46EB6987" w14:textId="77777777" w:rsidR="002803BB" w:rsidRPr="002803BB" w:rsidRDefault="002803BB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sz w:val="20"/>
          <w:szCs w:val="20"/>
        </w:rPr>
      </w:pPr>
    </w:p>
    <w:p w14:paraId="503C34F0" w14:textId="77777777" w:rsidR="00537BEE" w:rsidRPr="002803BB" w:rsidRDefault="00537BEE" w:rsidP="00537BEE">
      <w:pPr>
        <w:tabs>
          <w:tab w:val="left" w:pos="1276"/>
        </w:tabs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lastRenderedPageBreak/>
        <w:t>III.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ZÁSADY A REGULATÍVY UMIESTNENIA OBČIANSKEHO VYBAVENIA</w:t>
      </w:r>
    </w:p>
    <w:p w14:paraId="30C7AD4F" w14:textId="77777777" w:rsidR="00537BEE" w:rsidRPr="002803BB" w:rsidRDefault="00537BEE" w:rsidP="00537BEE">
      <w:pPr>
        <w:shd w:val="clear" w:color="auto" w:fill="FFFFFF"/>
        <w:autoSpaceDE w:val="0"/>
        <w:spacing w:before="8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III. ZÁSADY A REGULATÍVY UMIESTNENIA OBČIANSKEHO VYBAVENIA v jej podkapitolách III.1. ŠKOLSTVO, III.2. ZDRAVOTNÍCTVO, III.3. SOCIÁLNA STAROSTLIVOSŤ, III.4. KULTÚRA, III.5. TELOVÝCHOVA, ŠPORT A REKREÁCIA a III.6. VEREJNÁ SPRÁVA A ADMINISTRATÍVA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77508C88" w14:textId="77777777" w:rsidR="00537BEE" w:rsidRPr="002803BB" w:rsidRDefault="00537BEE" w:rsidP="00537BEE">
      <w:pPr>
        <w:widowControl/>
        <w:shd w:val="clear" w:color="auto" w:fill="FFFFFF"/>
        <w:ind w:firstLine="709"/>
        <w:jc w:val="both"/>
        <w:rPr>
          <w:rFonts w:ascii="Tahoma" w:eastAsia="Times New Roman" w:hAnsi="Tahoma"/>
          <w:b/>
          <w:i/>
          <w:sz w:val="20"/>
          <w:szCs w:val="20"/>
        </w:rPr>
      </w:pPr>
    </w:p>
    <w:p w14:paraId="682C3FA1" w14:textId="77777777" w:rsidR="00537BEE" w:rsidRPr="002803BB" w:rsidRDefault="00537BEE" w:rsidP="00537BEE">
      <w:pPr>
        <w:shd w:val="clear" w:color="auto" w:fill="FFFFFF"/>
        <w:tabs>
          <w:tab w:val="left" w:pos="1276"/>
        </w:tabs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IV.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 xml:space="preserve">ZÁSADY A REGULATÍVY UMIESTNENIA VEREJNÉHO DOPRAVNÉHO </w:t>
      </w:r>
    </w:p>
    <w:p w14:paraId="0491F801" w14:textId="77777777" w:rsidR="00537BEE" w:rsidRPr="002803BB" w:rsidRDefault="00537BEE" w:rsidP="00537BEE">
      <w:pPr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lang w:eastAsia="ar-SA"/>
        </w:rPr>
        <w:t xml:space="preserve">        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A TECHNICKÉHO VYBAVENIA</w:t>
      </w:r>
    </w:p>
    <w:p w14:paraId="6EE40325" w14:textId="77777777" w:rsidR="00537BEE" w:rsidRPr="002803BB" w:rsidRDefault="00537BEE" w:rsidP="00537BEE">
      <w:pPr>
        <w:shd w:val="clear" w:color="auto" w:fill="FFFFFF"/>
        <w:autoSpaceDE w:val="0"/>
        <w:spacing w:before="8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IV. ZÁSADY A REGULATÍVY UMIESTNENIA VEREJNÉHO DOPRAVNÉHO A TECHNICKÉHO VYBAVENIA v jej podkapitolách IV.2. VODNÉ HOSPODÁRSTVO, IV.3. ENERGETIKA A OZNAMOVACIE VEDENIA a IV.4. OBRANA ŠTÁTU, POŽIARNA OCHRANA A OCHRANA PRED POVODŇAMI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  <w:r w:rsidRPr="002803BB">
        <w:rPr>
          <w:rFonts w:ascii="Tahoma" w:eastAsia="Times New Roman" w:hAnsi="Tahoma"/>
          <w:i/>
          <w:sz w:val="20"/>
          <w:szCs w:val="20"/>
        </w:rPr>
        <w:t xml:space="preserve"> Podkapitola IV.1. VEREJNÉ DOPRAVNÉ VYBAVENIE sa </w:t>
      </w:r>
      <w:r w:rsidRPr="002803BB">
        <w:rPr>
          <w:rFonts w:ascii="Tahoma" w:eastAsia="Times New Roman" w:hAnsi="Tahoma"/>
          <w:b/>
          <w:i/>
          <w:sz w:val="20"/>
          <w:szCs w:val="20"/>
        </w:rPr>
        <w:t>mení a dopĺňa</w:t>
      </w:r>
      <w:r w:rsidRPr="002803BB">
        <w:rPr>
          <w:rFonts w:ascii="Tahoma" w:eastAsia="Times New Roman" w:hAnsi="Tahoma"/>
          <w:i/>
          <w:sz w:val="20"/>
          <w:szCs w:val="20"/>
        </w:rPr>
        <w:t xml:space="preserve"> nasledovne:</w:t>
      </w:r>
    </w:p>
    <w:p w14:paraId="3C5998E7" w14:textId="77777777" w:rsidR="00537BEE" w:rsidRPr="002803BB" w:rsidRDefault="00537BEE" w:rsidP="00537BEE">
      <w:pPr>
        <w:shd w:val="clear" w:color="auto" w:fill="FFFFFF"/>
        <w:autoSpaceDE w:val="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</w:p>
    <w:p w14:paraId="544BB680" w14:textId="77777777" w:rsidR="00537BEE" w:rsidRPr="002803BB" w:rsidRDefault="00537BEE" w:rsidP="00537BEE">
      <w:pPr>
        <w:autoSpaceDE w:val="0"/>
        <w:autoSpaceDN/>
        <w:ind w:left="1134" w:right="-216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sz w:val="20"/>
          <w:szCs w:val="20"/>
        </w:rPr>
        <w:t>IV.1. VEREJNÉ DOPRAVNÉ VYBAVENIE</w:t>
      </w:r>
    </w:p>
    <w:p w14:paraId="77A52B82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IV. ZÁSADY A REGULATÍVY UMIESTNENIA VEREJNÉHO DOPRAVNÉHO A TECHNICKÉHO VYBAVENIA jej podkapitola IV.1. VEREJNÉ DOPRAVNÉ VYBAVENIE  </w:t>
      </w:r>
      <w:r w:rsidRPr="002803BB">
        <w:rPr>
          <w:rFonts w:ascii="Tahoma" w:hAnsi="Tahoma" w:cs="Tahoma"/>
          <w:b/>
          <w:i/>
        </w:rPr>
        <w:t>mení a dopĺňa</w:t>
      </w:r>
      <w:r w:rsidRPr="002803BB">
        <w:rPr>
          <w:rFonts w:ascii="Tahoma" w:hAnsi="Tahoma" w:cs="Tahoma"/>
          <w:i/>
        </w:rPr>
        <w:t xml:space="preserve"> 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>, ostatné nezmenené body a texty nie sú uvádzané):</w:t>
      </w:r>
    </w:p>
    <w:p w14:paraId="1683005B" w14:textId="77777777" w:rsidR="00537BEE" w:rsidRPr="002803BB" w:rsidRDefault="00537BEE" w:rsidP="00537BEE">
      <w:pPr>
        <w:pStyle w:val="Standard"/>
        <w:widowControl w:val="0"/>
        <w:tabs>
          <w:tab w:val="left" w:pos="1276"/>
        </w:tabs>
        <w:autoSpaceDE w:val="0"/>
        <w:spacing w:before="120"/>
        <w:ind w:left="1276" w:hanging="567"/>
        <w:jc w:val="both"/>
        <w:rPr>
          <w:rFonts w:ascii="Tahoma" w:hAnsi="Tahoma" w:cs="Tahoma"/>
          <w:iCs/>
        </w:rPr>
      </w:pPr>
      <w:proofErr w:type="spellStart"/>
      <w:r w:rsidRPr="002803BB">
        <w:rPr>
          <w:rFonts w:ascii="Tahoma" w:hAnsi="Tahoma" w:cs="Tahoma"/>
          <w:iCs/>
        </w:rPr>
        <w:t>aa</w:t>
      </w:r>
      <w:proofErr w:type="spellEnd"/>
      <w:r w:rsidRPr="002803BB">
        <w:rPr>
          <w:rFonts w:ascii="Tahoma" w:hAnsi="Tahoma" w:cs="Tahoma"/>
          <w:iCs/>
        </w:rPr>
        <w:t>)</w:t>
      </w:r>
      <w:r w:rsidRPr="002803BB">
        <w:rPr>
          <w:rFonts w:ascii="Tahoma" w:hAnsi="Tahoma" w:cs="Tahoma"/>
          <w:iCs/>
        </w:rPr>
        <w:tab/>
        <w:t>na ochranu diaľnic, ciest a miestnych</w:t>
      </w:r>
      <w:r w:rsidRPr="002803BB">
        <w:rPr>
          <w:rFonts w:ascii="Tahoma" w:hAnsi="Tahoma" w:cs="Tahoma"/>
          <w:b/>
          <w:i/>
        </w:rPr>
        <w:t xml:space="preserve"> ciest</w:t>
      </w:r>
      <w:r w:rsidRPr="002803BB">
        <w:rPr>
          <w:rFonts w:ascii="Tahoma" w:hAnsi="Tahoma" w:cs="Tahoma"/>
          <w:b/>
          <w:i/>
          <w:iCs/>
        </w:rPr>
        <w:t xml:space="preserve"> </w:t>
      </w:r>
      <w:r w:rsidRPr="002803BB">
        <w:rPr>
          <w:rFonts w:ascii="Tahoma" w:hAnsi="Tahoma" w:cs="Tahoma"/>
          <w:iCs/>
        </w:rPr>
        <w:t>a premávky na nich mimo</w:t>
      </w:r>
      <w:r w:rsidRPr="002803BB">
        <w:rPr>
          <w:rFonts w:ascii="Tahoma" w:hAnsi="Tahoma" w:cs="Tahoma"/>
          <w:b/>
          <w:i/>
          <w:iCs/>
        </w:rPr>
        <w:t xml:space="preserve"> </w:t>
      </w:r>
      <w:r w:rsidRPr="002803BB">
        <w:rPr>
          <w:rFonts w:ascii="Tahoma" w:hAnsi="Tahoma" w:cs="Tahoma"/>
          <w:b/>
          <w:i/>
          <w:shd w:val="clear" w:color="auto" w:fill="FFFFFF"/>
        </w:rPr>
        <w:t>zastavaného územia obce vymedzeného platným územným plánom</w:t>
      </w:r>
      <w:r w:rsidRPr="002803BB">
        <w:rPr>
          <w:rFonts w:ascii="Tahoma" w:hAnsi="Tahoma" w:cs="Tahoma"/>
        </w:rPr>
        <w:t xml:space="preserve"> </w:t>
      </w:r>
      <w:r w:rsidRPr="002803BB">
        <w:rPr>
          <w:rFonts w:ascii="Tahoma" w:hAnsi="Tahoma" w:cs="Tahoma"/>
          <w:iCs/>
        </w:rPr>
        <w:t>dodržať cestné ochranné pásma v zmysle zákona č. 135/1961 Zb. o pozemných komunikáciách (cestný zákon) v znení neskorších predpisov a vyhlášky č. 35/1984 Zb., ktorou sa vykonáva zákon o pozemných komunikáciách.</w:t>
      </w:r>
    </w:p>
    <w:p w14:paraId="3AB16CB7" w14:textId="77777777" w:rsidR="00537BEE" w:rsidRPr="002803BB" w:rsidRDefault="00537BEE" w:rsidP="00537BEE">
      <w:pPr>
        <w:pStyle w:val="Standard"/>
        <w:widowControl w:val="0"/>
        <w:tabs>
          <w:tab w:val="left" w:pos="1276"/>
        </w:tabs>
        <w:autoSpaceDE w:val="0"/>
        <w:ind w:left="1276" w:hanging="567"/>
        <w:jc w:val="both"/>
        <w:rPr>
          <w:rFonts w:ascii="Tahoma" w:hAnsi="Tahoma" w:cs="Tahoma"/>
          <w:iCs/>
        </w:rPr>
      </w:pPr>
      <w:proofErr w:type="spellStart"/>
      <w:r w:rsidRPr="002803BB">
        <w:rPr>
          <w:rFonts w:ascii="Tahoma" w:hAnsi="Tahoma" w:cs="Tahoma"/>
          <w:iCs/>
        </w:rPr>
        <w:t>bb</w:t>
      </w:r>
      <w:proofErr w:type="spellEnd"/>
      <w:r w:rsidRPr="002803BB">
        <w:rPr>
          <w:rFonts w:ascii="Tahoma" w:hAnsi="Tahoma" w:cs="Tahoma"/>
          <w:iCs/>
        </w:rPr>
        <w:t>)</w:t>
      </w:r>
      <w:r w:rsidRPr="002803BB">
        <w:rPr>
          <w:rFonts w:ascii="Tahoma" w:hAnsi="Tahoma" w:cs="Tahoma"/>
          <w:iCs/>
        </w:rPr>
        <w:tab/>
        <w:t>dopravné pripojenia, navrhované cestné komunikácie, statickú dopravu</w:t>
      </w:r>
      <w:r w:rsidRPr="002803BB">
        <w:rPr>
          <w:rFonts w:ascii="Tahoma" w:hAnsi="Tahoma" w:cs="Tahoma"/>
          <w:b/>
          <w:i/>
          <w:iCs/>
        </w:rPr>
        <w:t xml:space="preserve"> v rámci navrhovaných lokalít </w:t>
      </w:r>
      <w:r w:rsidRPr="002803BB">
        <w:rPr>
          <w:rFonts w:ascii="Tahoma" w:hAnsi="Tahoma" w:cs="Tahoma"/>
          <w:iCs/>
        </w:rPr>
        <w:t>a pešie trasy je potrebné riešiť v súlade s aktuálne platnými STN a technickými predpismi</w:t>
      </w:r>
    </w:p>
    <w:p w14:paraId="43A47129" w14:textId="77777777" w:rsidR="00537BEE" w:rsidRPr="002803BB" w:rsidRDefault="00537BEE" w:rsidP="00537BEE">
      <w:pPr>
        <w:autoSpaceDE w:val="0"/>
        <w:autoSpaceDN/>
        <w:spacing w:before="120"/>
        <w:ind w:left="1276" w:right="-215" w:hanging="567"/>
        <w:jc w:val="both"/>
        <w:textAlignment w:val="auto"/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</w:pPr>
      <w:proofErr w:type="spellStart"/>
      <w:r w:rsidRPr="002803BB"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  <w:t>ff</w:t>
      </w:r>
      <w:proofErr w:type="spellEnd"/>
      <w:r w:rsidRPr="002803BB"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  <w:t>)</w:t>
      </w:r>
      <w:r w:rsidRPr="002803BB"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  <w:tab/>
        <w:t>v ďalšom stupni dokumentácie (rozšírenie areálu PPC Malženice) vypracovať kapacitné posúdenie existujúceho dopravného pripojenia v súlade s platnými STN a technického predpisu, či vyhovuje navrhovanej navýšenej doprave na celé výhľadové obdobie.</w:t>
      </w:r>
    </w:p>
    <w:p w14:paraId="16961314" w14:textId="77777777" w:rsidR="00537BEE" w:rsidRPr="002803BB" w:rsidRDefault="00537BEE" w:rsidP="00537BEE">
      <w:pPr>
        <w:autoSpaceDE w:val="0"/>
        <w:autoSpaceDN/>
        <w:ind w:left="1134" w:right="-216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1666B04C" w14:textId="77777777" w:rsidR="00537BEE" w:rsidRPr="002803BB" w:rsidRDefault="00537BEE" w:rsidP="00537BEE">
      <w:pPr>
        <w:autoSpaceDE w:val="0"/>
        <w:autoSpaceDN/>
        <w:ind w:left="1134" w:right="-216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V.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ZÁSADY A REGULATÍVY ZACHOVANIA KULTÚRNO-HISTORICKÝCH HODNÔT</w:t>
      </w:r>
    </w:p>
    <w:p w14:paraId="7C8618C4" w14:textId="77777777" w:rsidR="00537BEE" w:rsidRPr="002803BB" w:rsidRDefault="00537BEE" w:rsidP="00537BEE">
      <w:pPr>
        <w:shd w:val="clear" w:color="auto" w:fill="FFFFFF"/>
        <w:autoSpaceDE w:val="0"/>
        <w:spacing w:before="8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V. ZÁSADY A REGULATÍVY ZACHOVANIA KULTÚRNO-HISTORICKÝCH HODNÔT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3F710A25" w14:textId="77777777" w:rsidR="00537BEE" w:rsidRPr="002803BB" w:rsidRDefault="00537BEE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6E9EF97E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VI.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 xml:space="preserve">ZÁSADY A REGULATÍVY OCHRANY A VYUŽÍVANIA PRÍRODNÝCH </w:t>
      </w:r>
    </w:p>
    <w:p w14:paraId="63D63E9F" w14:textId="77777777" w:rsidR="00537BEE" w:rsidRPr="002803BB" w:rsidRDefault="00537BEE" w:rsidP="002803BB">
      <w:pPr>
        <w:autoSpaceDE w:val="0"/>
        <w:autoSpaceDN/>
        <w:ind w:firstLine="1134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ZDROJOV</w:t>
      </w:r>
    </w:p>
    <w:p w14:paraId="2D2D50AD" w14:textId="77777777" w:rsidR="00537BEE" w:rsidRPr="002803BB" w:rsidRDefault="00537BEE" w:rsidP="00537BEE">
      <w:pPr>
        <w:shd w:val="clear" w:color="auto" w:fill="FFFFFF"/>
        <w:autoSpaceDE w:val="0"/>
        <w:spacing w:before="8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VI. ZÁSADY A REGULATÍVY OCHRANY A VYUŽÍVANIA PRÍRODNÝCH ZDROJOV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3E7CBA70" w14:textId="77777777" w:rsidR="002803BB" w:rsidRDefault="002803BB" w:rsidP="00537BEE">
      <w:pPr>
        <w:widowControl/>
        <w:tabs>
          <w:tab w:val="left" w:pos="1276"/>
        </w:tabs>
        <w:autoSpaceDN/>
        <w:ind w:left="1276" w:hanging="541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5209405D" w14:textId="77777777" w:rsidR="00537BEE" w:rsidRPr="002803BB" w:rsidRDefault="00537BEE" w:rsidP="00537BEE">
      <w:pPr>
        <w:widowControl/>
        <w:tabs>
          <w:tab w:val="left" w:pos="1276"/>
        </w:tabs>
        <w:autoSpaceDN/>
        <w:ind w:left="1276" w:hanging="541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VII.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ZÁSADY A REGULATÍVY VYTVÁRANIA A UDRŽIAVANIA EKOLOGICKEJ STABILITY, OCHRANY PRÍRODY A TVORBY KRAJINY</w:t>
      </w:r>
    </w:p>
    <w:p w14:paraId="47F71C48" w14:textId="77777777" w:rsidR="00537BEE" w:rsidRPr="002803BB" w:rsidRDefault="00537BEE" w:rsidP="00537BEE">
      <w:pPr>
        <w:shd w:val="clear" w:color="auto" w:fill="FFFFFF"/>
        <w:autoSpaceDE w:val="0"/>
        <w:spacing w:before="8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VII. ZÁSADY A REGULATÍVY VYTVÁRANIA A UDRŽIAVANIA EKOLOGICKEJ STABILITY, OCHRANY PRÍRODY A TVORBY KRAJINY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6E04D098" w14:textId="77777777" w:rsidR="00537BEE" w:rsidRPr="002803BB" w:rsidRDefault="00537BEE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49C33A46" w14:textId="77777777" w:rsidR="00537BEE" w:rsidRPr="002803BB" w:rsidRDefault="00537BEE" w:rsidP="00537BEE">
      <w:pPr>
        <w:autoSpaceDE w:val="0"/>
        <w:autoSpaceDN/>
        <w:ind w:left="1418" w:hanging="710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VIII.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ZÁSADY A REGULATÍVY STAROSTLIVOSTI O ŽIVOTNÉ PROSTREDIE</w:t>
      </w:r>
    </w:p>
    <w:p w14:paraId="619F6E5D" w14:textId="77777777" w:rsidR="00537BEE" w:rsidRPr="002803BB" w:rsidRDefault="00537BEE" w:rsidP="00537BEE">
      <w:pPr>
        <w:shd w:val="clear" w:color="auto" w:fill="FFFFFF"/>
        <w:autoSpaceDE w:val="0"/>
        <w:spacing w:before="8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VIII. ZÁSADY A REGULATÍVY STAROSTLIVOSTI O ŽIVOTNÉ PROSTREDIE v jej podkapitolách VIII.3. OCHRANA PÔDY, VIII.4. ODPADOVÉ HOSPODÁRSTVO, VIII.5. RADÓNOVÉ RIZIKO a VIII.6. ENVIRONMENTÁLNE ZÁŤAŽE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  <w:r w:rsidRPr="002803BB">
        <w:rPr>
          <w:rFonts w:ascii="Tahoma" w:eastAsia="Times New Roman" w:hAnsi="Tahoma"/>
          <w:i/>
          <w:sz w:val="20"/>
          <w:szCs w:val="20"/>
        </w:rPr>
        <w:t xml:space="preserve"> Podkapitoly VIII.1. OCHRANA ČISTOTY OVZDUŠIA A HLUK a VIII.2. OCHRANA KVALITY POVRCHOVÝCH A PODZEMNÝCH VÔD, sa </w:t>
      </w:r>
      <w:r w:rsidRPr="002803BB">
        <w:rPr>
          <w:rFonts w:ascii="Tahoma" w:eastAsia="Times New Roman" w:hAnsi="Tahoma"/>
          <w:b/>
          <w:i/>
          <w:sz w:val="20"/>
          <w:szCs w:val="20"/>
        </w:rPr>
        <w:t>menia a dopĺňajú</w:t>
      </w:r>
      <w:r w:rsidRPr="002803BB">
        <w:rPr>
          <w:rFonts w:ascii="Tahoma" w:eastAsia="Times New Roman" w:hAnsi="Tahoma"/>
          <w:i/>
          <w:sz w:val="20"/>
          <w:szCs w:val="20"/>
        </w:rPr>
        <w:t xml:space="preserve"> nasledovne:</w:t>
      </w:r>
    </w:p>
    <w:p w14:paraId="3C59C4F2" w14:textId="77777777" w:rsidR="00537BEE" w:rsidRDefault="00537BEE" w:rsidP="00537BEE">
      <w:pPr>
        <w:shd w:val="clear" w:color="auto" w:fill="FFFFFF"/>
        <w:autoSpaceDE w:val="0"/>
        <w:ind w:firstLine="709"/>
        <w:jc w:val="both"/>
        <w:rPr>
          <w:rFonts w:ascii="Tahoma" w:eastAsia="Times New Roman" w:hAnsi="Tahoma"/>
          <w:b/>
          <w:sz w:val="20"/>
          <w:szCs w:val="20"/>
        </w:rPr>
      </w:pPr>
    </w:p>
    <w:p w14:paraId="5AE5459D" w14:textId="77777777" w:rsidR="00E5550F" w:rsidRPr="002803BB" w:rsidRDefault="00E5550F" w:rsidP="00537BEE">
      <w:pPr>
        <w:shd w:val="clear" w:color="auto" w:fill="FFFFFF"/>
        <w:autoSpaceDE w:val="0"/>
        <w:ind w:firstLine="709"/>
        <w:jc w:val="both"/>
        <w:rPr>
          <w:rFonts w:ascii="Tahoma" w:eastAsia="Times New Roman" w:hAnsi="Tahoma"/>
          <w:b/>
          <w:sz w:val="20"/>
          <w:szCs w:val="20"/>
        </w:rPr>
      </w:pPr>
    </w:p>
    <w:p w14:paraId="28AC7FBD" w14:textId="77777777" w:rsidR="00537BEE" w:rsidRPr="002803BB" w:rsidRDefault="00537BEE" w:rsidP="00537BEE">
      <w:pPr>
        <w:shd w:val="clear" w:color="auto" w:fill="FFFFFF"/>
        <w:tabs>
          <w:tab w:val="left" w:pos="1560"/>
        </w:tabs>
        <w:autoSpaceDE w:val="0"/>
        <w:ind w:firstLine="709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lastRenderedPageBreak/>
        <w:t>VIII.1.</w:t>
      </w:r>
      <w:r w:rsidRPr="002803BB">
        <w:rPr>
          <w:rFonts w:ascii="Tahoma" w:eastAsia="Times New Roman" w:hAnsi="Tahoma"/>
          <w:b/>
          <w:sz w:val="20"/>
          <w:szCs w:val="20"/>
        </w:rPr>
        <w:tab/>
        <w:t>OCHRANA ČISTOTY OVZDUŠIA A HLUK</w:t>
      </w:r>
    </w:p>
    <w:p w14:paraId="7CAD381E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VIII. ZÁSADY A REGULATÍVY STAROSTLIVOSTI O ŽIVOTNÉ PROSTREDIE jej podkapitola VIII.1. OCHRANA ČISTOTY OVZDUŠIA A HLUK </w:t>
      </w:r>
      <w:r w:rsidRPr="002803BB">
        <w:rPr>
          <w:rFonts w:ascii="Tahoma" w:hAnsi="Tahoma" w:cs="Tahoma"/>
          <w:b/>
          <w:i/>
        </w:rPr>
        <w:t>mení a dopĺňa</w:t>
      </w:r>
      <w:r w:rsidRPr="002803BB">
        <w:rPr>
          <w:rFonts w:ascii="Tahoma" w:hAnsi="Tahoma" w:cs="Tahoma"/>
          <w:i/>
        </w:rPr>
        <w:t xml:space="preserve"> 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>, ostatné nezmenené body a texty nie sú uvádzané):</w:t>
      </w:r>
    </w:p>
    <w:p w14:paraId="1C4EDB86" w14:textId="77777777" w:rsidR="00537BEE" w:rsidRPr="002803BB" w:rsidRDefault="00537BEE" w:rsidP="00537BEE">
      <w:pPr>
        <w:widowControl/>
        <w:autoSpaceDN/>
        <w:spacing w:before="120"/>
        <w:ind w:left="1134" w:hanging="414"/>
        <w:jc w:val="both"/>
        <w:textAlignment w:val="auto"/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e)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ab/>
        <w:t>pri návrhu jednotlivých lokalít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, </w:t>
      </w:r>
      <w:r w:rsidRPr="002803BB">
        <w:rPr>
          <w:rFonts w:ascii="Tahoma" w:hAnsi="Tahoma"/>
          <w:b/>
          <w:i/>
          <w:sz w:val="20"/>
          <w:szCs w:val="20"/>
        </w:rPr>
        <w:t>predovšetkým bývania,</w:t>
      </w:r>
      <w:r w:rsidRPr="002803BB">
        <w:rPr>
          <w:rFonts w:ascii="Tahoma" w:hAnsi="Tahoma"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v blízkosti pozemných komunikácií je nevyhnutné posúdiť nepriaznivé vplyvy z dopravy,</w:t>
      </w:r>
      <w:r w:rsidRPr="002803BB">
        <w:rPr>
          <w:rFonts w:ascii="Tahoma" w:hAnsi="Tahoma"/>
          <w:b/>
          <w:i/>
          <w:sz w:val="20"/>
          <w:szCs w:val="20"/>
        </w:rPr>
        <w:t xml:space="preserve"> vyznačiť pásma prípustných hladín hluku</w:t>
      </w:r>
      <w:r w:rsidRPr="002803BB">
        <w:rPr>
          <w:rFonts w:ascii="Tahoma" w:hAnsi="Tahoma"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a dodržať pásmo hygienickej ochrany pred hlukom a negatívnymi účinkami dopravy v zmysle vyhlášky MZ SR č. 549/2007 </w:t>
      </w:r>
      <w:proofErr w:type="spellStart"/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Z.z</w:t>
      </w:r>
      <w:proofErr w:type="spellEnd"/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., ktorou sa ustanovujú podrobnosti o prípustných hodnotách hluku, infrazvuku a vibrácií a o požiadavkách na objektivizáciu hluku, infrazvuku a vibrácií v životnom prostredí v znení neskorších zmien a predpisov</w:t>
      </w:r>
    </w:p>
    <w:p w14:paraId="18486AA4" w14:textId="77777777" w:rsidR="00537BEE" w:rsidRPr="002803BB" w:rsidRDefault="00537BEE" w:rsidP="00537BEE">
      <w:pPr>
        <w:widowControl/>
        <w:autoSpaceDN/>
        <w:ind w:left="1134" w:hanging="414"/>
        <w:jc w:val="both"/>
        <w:textAlignment w:val="auto"/>
        <w:rPr>
          <w:rFonts w:ascii="Tahoma" w:eastAsia="Times New Roman" w:hAnsi="Tahoma"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f)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ab/>
        <w:t xml:space="preserve">v lokalitách </w:t>
      </w:r>
      <w:r w:rsidRPr="002803BB">
        <w:rPr>
          <w:rFonts w:ascii="Tahoma" w:hAnsi="Tahoma"/>
          <w:b/>
          <w:i/>
          <w:sz w:val="20"/>
          <w:szCs w:val="20"/>
        </w:rPr>
        <w:t xml:space="preserve">slúžiacich na </w:t>
      </w:r>
      <w:r w:rsidRPr="002803BB">
        <w:rPr>
          <w:rFonts w:ascii="Tahoma" w:hAnsi="Tahoma"/>
          <w:sz w:val="20"/>
          <w:szCs w:val="20"/>
        </w:rPr>
        <w:t>bývani</w:t>
      </w:r>
      <w:r w:rsidRPr="002803BB">
        <w:rPr>
          <w:rFonts w:ascii="Tahoma" w:hAnsi="Tahoma"/>
          <w:b/>
          <w:i/>
          <w:sz w:val="20"/>
          <w:szCs w:val="20"/>
        </w:rPr>
        <w:t>e, resp. ubytovanie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>, v pásmach s negatívnymi dopadmi a vplyvmi z dopravy, musia byť vypracované hlukové štúdie</w:t>
      </w:r>
      <w:r w:rsidRPr="002803BB">
        <w:rPr>
          <w:rFonts w:ascii="Tahoma" w:hAnsi="Tahoma"/>
          <w:sz w:val="20"/>
          <w:szCs w:val="20"/>
        </w:rPr>
        <w:t xml:space="preserve"> </w:t>
      </w:r>
      <w:r w:rsidRPr="002803BB">
        <w:rPr>
          <w:rFonts w:ascii="Tahoma" w:hAnsi="Tahoma"/>
          <w:b/>
          <w:i/>
          <w:sz w:val="20"/>
          <w:szCs w:val="20"/>
        </w:rPr>
        <w:t>vo vzťahu k dopravnej infraštruktúre (a doprave na nej)</w:t>
      </w:r>
      <w:r w:rsidRPr="002803BB">
        <w:rPr>
          <w:rFonts w:ascii="Tahoma" w:hAnsi="Tahoma"/>
          <w:sz w:val="20"/>
          <w:szCs w:val="20"/>
        </w:rPr>
        <w:t>,</w:t>
      </w:r>
      <w:r w:rsidRPr="002803BB">
        <w:rPr>
          <w:rFonts w:ascii="Tahoma" w:hAnsi="Tahoma"/>
          <w:b/>
          <w:i/>
          <w:sz w:val="20"/>
          <w:szCs w:val="20"/>
        </w:rPr>
        <w:t xml:space="preserve">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ktoré preukážu vyhovujúce prípustné hodnoty určujúcich veličín hluku, infrazvuku a vibrácií a </w:t>
      </w:r>
      <w:r w:rsidRPr="002803BB">
        <w:rPr>
          <w:rFonts w:ascii="Tahoma" w:hAnsi="Tahoma"/>
          <w:b/>
          <w:i/>
          <w:sz w:val="20"/>
          <w:szCs w:val="20"/>
        </w:rPr>
        <w:t>ich výsledky zahrnúť do protihlukových opatrení stavieb tak, aby bola zabezpečená expozícia obyvateľov a ich prostredia hlukom</w:t>
      </w:r>
      <w:r w:rsidRPr="002803BB">
        <w:rPr>
          <w:rFonts w:ascii="Tahoma" w:hAnsi="Tahoma"/>
          <w:sz w:val="20"/>
          <w:szCs w:val="20"/>
        </w:rPr>
        <w:t xml:space="preserve"> </w:t>
      </w:r>
      <w:r w:rsidRPr="002803BB">
        <w:rPr>
          <w:rFonts w:ascii="Tahoma" w:hAnsi="Tahoma"/>
          <w:b/>
          <w:i/>
          <w:sz w:val="20"/>
          <w:szCs w:val="20"/>
        </w:rPr>
        <w:t>v súlade s prípustnými hodnotami, ustanovenými vyhláškou č. 549/2007 Z. z., ktorou sa ustanovujú podrobnosti o prípustných hodnotách hluku, infrazvuku a vibrácií a o požiadavkách na objektivizáciu hluku, infrazvuku a vibrácií v životnom prostredí v znení neskorších zmien a predpisov a vyhláškou č. 237/2009 Z. z., ktorou sa mení a dopĺňa vyššie uvedená vyhláška č. 549/2007 Z. z., ktorou sa ustanovujú podrobnosti o prípustných hodnotách hluku, infrazvuku a vibrácií a o požiadavkách na objektivizáciu hluku, infrazvuku a vibrácií v životnom prostredí v znení neskorších zmien a predpisov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. V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prípade prekročenia limitov týchto hodnôt je nutné navrhnúť opatrenia na maximálnu možnú elimináciu negatívnych účinkov dopravy a zaviazať investorov na vykonanie týchto opatrení. </w:t>
      </w:r>
    </w:p>
    <w:p w14:paraId="2D2FC994" w14:textId="77777777" w:rsidR="00537BEE" w:rsidRPr="002803BB" w:rsidRDefault="00537BEE" w:rsidP="00537BEE">
      <w:pPr>
        <w:autoSpaceDE w:val="0"/>
        <w:autoSpaceDN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</w:r>
    </w:p>
    <w:p w14:paraId="1D550EDB" w14:textId="77777777" w:rsidR="00537BEE" w:rsidRPr="002803BB" w:rsidRDefault="00537BEE" w:rsidP="00537BEE">
      <w:pPr>
        <w:shd w:val="clear" w:color="auto" w:fill="FFFFFF"/>
        <w:tabs>
          <w:tab w:val="left" w:pos="-4680"/>
          <w:tab w:val="left" w:pos="1560"/>
        </w:tabs>
        <w:autoSpaceDE w:val="0"/>
        <w:autoSpaceDN/>
        <w:ind w:firstLine="709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VIII.2.</w:t>
      </w: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ab/>
        <w:t>OCHRANA KVALITY POVRCHOVÝCH A PODZEMNÝCH VÔD</w:t>
      </w:r>
    </w:p>
    <w:p w14:paraId="6327A419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VIII. ZÁSADY A REGULATÍVY STAROSTLIVOSTI O ŽIVOTNÉ PROSTREDIE v jej podkapitole VIII.2. OCHRANA KVALITY POVRCHOVÝCH A PODZEMNÝCH VÔD </w:t>
      </w:r>
      <w:r w:rsidRPr="002803BB">
        <w:rPr>
          <w:rFonts w:ascii="Tahoma" w:hAnsi="Tahoma" w:cs="Tahoma"/>
          <w:b/>
          <w:i/>
        </w:rPr>
        <w:t>dopĺňa</w:t>
      </w:r>
      <w:r w:rsidRPr="002803BB">
        <w:rPr>
          <w:rFonts w:ascii="Tahoma" w:hAnsi="Tahoma" w:cs="Tahoma"/>
          <w:i/>
        </w:rPr>
        <w:t xml:space="preserve"> bod k) a podkapitola sa </w:t>
      </w:r>
      <w:r w:rsidRPr="002803BB">
        <w:rPr>
          <w:rFonts w:ascii="Tahoma" w:hAnsi="Tahoma" w:cs="Tahoma"/>
          <w:b/>
          <w:i/>
        </w:rPr>
        <w:t>mení a dopĺňa</w:t>
      </w:r>
      <w:r w:rsidRPr="002803BB">
        <w:rPr>
          <w:rFonts w:ascii="Tahoma" w:hAnsi="Tahoma" w:cs="Tahoma"/>
          <w:i/>
        </w:rPr>
        <w:t xml:space="preserve"> 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>, ostatné nezmenené body a texty nie sú uvádzané):</w:t>
      </w:r>
    </w:p>
    <w:p w14:paraId="02CF4A4C" w14:textId="77777777" w:rsidR="00537BEE" w:rsidRPr="002803BB" w:rsidRDefault="00537BEE" w:rsidP="00537BEE">
      <w:pPr>
        <w:widowControl/>
        <w:shd w:val="clear" w:color="auto" w:fill="FFFFFF"/>
        <w:tabs>
          <w:tab w:val="left" w:pos="-4680"/>
        </w:tabs>
        <w:autoSpaceDE w:val="0"/>
        <w:autoSpaceDN/>
        <w:spacing w:before="120"/>
        <w:ind w:left="993" w:hanging="284"/>
        <w:jc w:val="both"/>
        <w:textAlignment w:val="auto"/>
        <w:rPr>
          <w:rFonts w:ascii="Tahoma" w:eastAsia="Times New Roman" w:hAnsi="Tahoma"/>
          <w:strike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f)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ab/>
        <w:t xml:space="preserve">dažďové vody zo striech a spevnených plôch pri plánovanej výstavbe je potrebné v maximálnej miere zadržať v území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tak, aby odtok z územia nebol zvýšený voči stavu pred realizáciou výstavby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(zachovať retenčnú schopnosť územia),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 xml:space="preserve">napríklad 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akumuláciou do zberných nádrží a následne túto vodu využívať </w:t>
      </w:r>
      <w:r w:rsidRPr="002803BB">
        <w:rPr>
          <w:rFonts w:ascii="Tahoma" w:eastAsia="Times New Roman" w:hAnsi="Tahoma"/>
          <w:b/>
          <w:i/>
          <w:kern w:val="0"/>
          <w:sz w:val="20"/>
          <w:szCs w:val="20"/>
          <w:lang w:eastAsia="ar-SA"/>
        </w:rPr>
        <w:t>na závlahu pozemkov investora</w:t>
      </w: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 </w:t>
      </w:r>
    </w:p>
    <w:p w14:paraId="6561F8B5" w14:textId="77777777" w:rsidR="00537BEE" w:rsidRPr="002803BB" w:rsidRDefault="00537BEE" w:rsidP="00537BEE">
      <w:pPr>
        <w:tabs>
          <w:tab w:val="left" w:pos="993"/>
        </w:tabs>
        <w:autoSpaceDE w:val="0"/>
        <w:autoSpaceDN/>
        <w:spacing w:before="120"/>
        <w:ind w:left="993" w:hanging="284"/>
        <w:jc w:val="both"/>
        <w:textAlignment w:val="auto"/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  <w:t>k)</w:t>
      </w:r>
      <w:r w:rsidRPr="002803BB">
        <w:rPr>
          <w:rFonts w:ascii="Tahoma" w:eastAsia="Times New Roman" w:hAnsi="Tahoma"/>
          <w:b/>
          <w:bCs/>
          <w:i/>
          <w:kern w:val="0"/>
          <w:sz w:val="20"/>
          <w:szCs w:val="20"/>
          <w:lang w:eastAsia="ar-SA"/>
        </w:rPr>
        <w:tab/>
        <w:t>spôsob zakladania stavieb je potrebné prispôsobiť geologickému prostrediu a úrovni hladiny podzemnej vody, zabezpečiť dôkladnú hydroizoláciu spodnej stavby a jej ochranu voči nepriaznivým vplyvom pri zvýšenej hladine podzemných vôd</w:t>
      </w:r>
    </w:p>
    <w:p w14:paraId="7A8F334F" w14:textId="77777777" w:rsidR="00537BEE" w:rsidRPr="002803BB" w:rsidRDefault="00537BEE" w:rsidP="00537BEE">
      <w:pPr>
        <w:autoSpaceDE w:val="0"/>
        <w:autoSpaceDN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62B062B2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IX.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VYMEDZENIE ZASTAVANÉHO ÚZEMIA OBCE</w:t>
      </w:r>
    </w:p>
    <w:p w14:paraId="23C73064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kapitola IX. VYMEDZENIE ZASTAVANÉHO ÚZEMIA OBCE </w:t>
      </w:r>
      <w:r w:rsidRPr="002803BB">
        <w:rPr>
          <w:rFonts w:ascii="Tahoma" w:hAnsi="Tahoma" w:cs="Tahoma"/>
          <w:b/>
          <w:i/>
        </w:rPr>
        <w:t xml:space="preserve">mení a dopĺňa </w:t>
      </w:r>
      <w:r w:rsidRPr="002803BB">
        <w:rPr>
          <w:rFonts w:ascii="Tahoma" w:hAnsi="Tahoma" w:cs="Tahoma"/>
          <w:i/>
        </w:rPr>
        <w:t xml:space="preserve">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>, ostatné nezmenené texty nie sú uvádzané):</w:t>
      </w:r>
    </w:p>
    <w:p w14:paraId="2B982B1F" w14:textId="77777777" w:rsidR="00537BEE" w:rsidRPr="002803BB" w:rsidRDefault="00537BEE" w:rsidP="00537BEE">
      <w:pPr>
        <w:suppressAutoHyphens w:val="0"/>
        <w:autoSpaceDE w:val="0"/>
        <w:adjustRightInd w:val="0"/>
        <w:spacing w:before="120"/>
        <w:ind w:firstLine="709"/>
        <w:jc w:val="both"/>
        <w:textAlignment w:val="auto"/>
        <w:rPr>
          <w:rFonts w:ascii="Tahoma" w:hAnsi="Tahoma"/>
          <w:b/>
          <w:i/>
          <w:iCs/>
          <w:sz w:val="20"/>
          <w:szCs w:val="20"/>
        </w:rPr>
      </w:pPr>
      <w:r w:rsidRPr="002803BB">
        <w:rPr>
          <w:rFonts w:ascii="Tahoma" w:hAnsi="Tahoma"/>
          <w:b/>
          <w:i/>
          <w:iCs/>
          <w:sz w:val="20"/>
          <w:szCs w:val="20"/>
        </w:rPr>
        <w:t>ZMENA 06/2023 územného plánu obce TRAKOVICE rozšírila zastavané územie obce o rozvojovú plochu v rámci návrhu riešenia ZMENY 06/2023-a.</w:t>
      </w:r>
    </w:p>
    <w:p w14:paraId="07BAFFFC" w14:textId="77777777" w:rsidR="00537BEE" w:rsidRPr="002803BB" w:rsidRDefault="00537BEE" w:rsidP="00537BEE">
      <w:pPr>
        <w:autoSpaceDE w:val="0"/>
        <w:autoSpaceDN/>
        <w:spacing w:before="120"/>
        <w:ind w:firstLine="709"/>
        <w:jc w:val="both"/>
        <w:textAlignment w:val="auto"/>
        <w:rPr>
          <w:rFonts w:ascii="Tahoma" w:eastAsia="Times New Roman" w:hAnsi="Tahoma"/>
          <w:i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iCs/>
          <w:kern w:val="0"/>
          <w:sz w:val="20"/>
          <w:szCs w:val="20"/>
          <w:lang w:eastAsia="ar-SA"/>
        </w:rPr>
        <w:t>Pri uplatňovaní záverov z riešenia územného plánu v rozvoji obce je potrebné :</w:t>
      </w:r>
    </w:p>
    <w:p w14:paraId="2BFB111C" w14:textId="77777777" w:rsidR="00537BEE" w:rsidRPr="002803BB" w:rsidRDefault="00537BEE" w:rsidP="00537BEE">
      <w:pPr>
        <w:tabs>
          <w:tab w:val="left" w:pos="1170"/>
        </w:tabs>
        <w:autoSpaceDE w:val="0"/>
        <w:autoSpaceDN/>
        <w:ind w:left="1020" w:hanging="285"/>
        <w:jc w:val="both"/>
        <w:textAlignment w:val="auto"/>
        <w:rPr>
          <w:rFonts w:ascii="Tahoma" w:eastAsia="Times New Roman" w:hAnsi="Tahoma"/>
          <w:i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kern w:val="0"/>
          <w:sz w:val="20"/>
          <w:szCs w:val="20"/>
          <w:lang w:eastAsia="ar-SA"/>
        </w:rPr>
        <w:t xml:space="preserve">a) rešpektovať hranice zastavaného územia platné k 1.1.1990 rozšírené v zmysle platnej legislatívy o vymedzené rozvojové plochy v zmysle návrhu ÚPN O, </w:t>
      </w:r>
      <w:r w:rsidRPr="002803BB">
        <w:rPr>
          <w:rFonts w:ascii="Tahoma" w:eastAsia="Times New Roman" w:hAnsi="Tahoma"/>
          <w:bCs/>
          <w:iCs/>
          <w:kern w:val="0"/>
          <w:sz w:val="20"/>
          <w:szCs w:val="20"/>
          <w:lang w:eastAsia="ar-SA"/>
        </w:rPr>
        <w:t>rozšírené  o vymedzené rozvojové plochy v zmysle návrhu ZMENY 01/2008 ÚPN O Trakovice,</w:t>
      </w:r>
      <w:r w:rsidRPr="002803BB">
        <w:rPr>
          <w:rFonts w:ascii="Tahoma" w:eastAsia="Times New Roman" w:hAnsi="Tahoma"/>
          <w:iCs/>
          <w:kern w:val="0"/>
          <w:sz w:val="20"/>
          <w:szCs w:val="20"/>
          <w:lang w:eastAsia="ar-SA"/>
        </w:rPr>
        <w:t xml:space="preserve"> ZMENY 04/2018 a </w:t>
      </w:r>
      <w:r w:rsidRPr="002803BB">
        <w:rPr>
          <w:rFonts w:ascii="Tahoma" w:eastAsia="Times New Roman" w:hAnsi="Tahoma"/>
          <w:b/>
          <w:i/>
          <w:iCs/>
          <w:kern w:val="0"/>
          <w:sz w:val="20"/>
          <w:szCs w:val="20"/>
          <w:lang w:eastAsia="ar-SA"/>
        </w:rPr>
        <w:t>ZMENY 06/2023-a</w:t>
      </w:r>
    </w:p>
    <w:p w14:paraId="59CC193D" w14:textId="77777777" w:rsidR="00537BEE" w:rsidRDefault="00537BEE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05F1309A" w14:textId="77777777" w:rsidR="00E5550F" w:rsidRDefault="00E5550F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10E22597" w14:textId="77777777" w:rsidR="00E5550F" w:rsidRPr="002803BB" w:rsidRDefault="00E5550F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4EC8DAAF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lastRenderedPageBreak/>
        <w:t>X.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VYMEDZENIE OCHRANNÝCH PÁSIEM A CHRÁNENÝCH ÚZEMÍ</w:t>
      </w:r>
    </w:p>
    <w:p w14:paraId="0A7A5AB2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X. VYMEDZENIE OCHRANNÝCH PÁSIEM A CHRÁNENÝCH ÚZEMÍ v jej podkapitolách X.1. OCHRANNÉ PÁSMA DOPRAVNÉHO VYBAVENIA, X.2. OCHRANNÉ PÁSMA TECHNICKÉHO VYBAVENIA, X.3. OSTATNÉ OCHRANNÉ PÁSMA, X.4. CHRÁNENÉ ÚZEMIA a X.5. VYMEDZENIE PRIESKUMNÝCH ÚZEMÍ, CHRÁNENÝCH LOŽISKOVÝCH ÚZEMÍ A DOBÝVACÍCH PRIESTOROV 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mení a dopĺňa </w:t>
      </w:r>
      <w:r w:rsidRPr="002803BB">
        <w:rPr>
          <w:rFonts w:ascii="Tahoma" w:eastAsia="Times New Roman" w:hAnsi="Tahoma"/>
          <w:i/>
          <w:sz w:val="20"/>
          <w:szCs w:val="20"/>
        </w:rPr>
        <w:t>nasledovne:</w:t>
      </w:r>
    </w:p>
    <w:p w14:paraId="12F62074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b/>
          <w:sz w:val="20"/>
          <w:szCs w:val="20"/>
        </w:rPr>
      </w:pPr>
      <w:r w:rsidRPr="002803BB">
        <w:rPr>
          <w:rFonts w:ascii="Tahoma" w:eastAsia="Times New Roman" w:hAnsi="Tahoma"/>
          <w:b/>
          <w:sz w:val="20"/>
          <w:szCs w:val="20"/>
        </w:rPr>
        <w:t>X.1. OCHRANNÉ PÁSMA DOPRAVNÉHO VYBAVENIA</w:t>
      </w:r>
    </w:p>
    <w:p w14:paraId="0747C80D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X. VYMEDZENIE OCHRANNÝCH PÁSIEM A CHRÁNENÝCH ÚZEMÍ jej podkapitola X.1. OCHRANNÉ PÁSMA DOPRAVNÉHO VYBAVENIA </w:t>
      </w:r>
      <w:r w:rsidRPr="002803BB">
        <w:rPr>
          <w:rFonts w:ascii="Tahoma" w:hAnsi="Tahoma" w:cs="Tahoma"/>
          <w:b/>
          <w:i/>
        </w:rPr>
        <w:t xml:space="preserve">mení a dopĺňa </w:t>
      </w:r>
      <w:r w:rsidRPr="002803BB">
        <w:rPr>
          <w:rFonts w:ascii="Tahoma" w:hAnsi="Tahoma" w:cs="Tahoma"/>
          <w:i/>
        </w:rPr>
        <w:t xml:space="preserve">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>, ostatné nezmenené texty nie sú uvádzané):</w:t>
      </w:r>
    </w:p>
    <w:p w14:paraId="67D26041" w14:textId="77777777" w:rsidR="00537BEE" w:rsidRPr="002803BB" w:rsidRDefault="00537BEE" w:rsidP="00537BEE">
      <w:pPr>
        <w:pStyle w:val="Bodytext20"/>
        <w:shd w:val="clear" w:color="auto" w:fill="auto"/>
        <w:tabs>
          <w:tab w:val="left" w:pos="0"/>
        </w:tabs>
        <w:spacing w:before="120" w:after="0"/>
        <w:ind w:firstLine="709"/>
        <w:rPr>
          <w:rFonts w:ascii="Tahoma" w:hAnsi="Tahoma" w:cs="Tahoma"/>
          <w:sz w:val="20"/>
          <w:szCs w:val="20"/>
        </w:rPr>
      </w:pPr>
      <w:r w:rsidRPr="002803BB">
        <w:rPr>
          <w:rFonts w:ascii="Tahoma" w:hAnsi="Tahoma" w:cs="Tahoma"/>
          <w:sz w:val="20"/>
          <w:szCs w:val="20"/>
        </w:rPr>
        <w:t xml:space="preserve">V zmysle § 11 ods. 1 </w:t>
      </w:r>
      <w:r w:rsidRPr="002803BB">
        <w:rPr>
          <w:rFonts w:ascii="Tahoma" w:hAnsi="Tahoma" w:cs="Tahoma"/>
          <w:b/>
          <w:i/>
          <w:sz w:val="20"/>
          <w:szCs w:val="20"/>
        </w:rPr>
        <w:t>zákona č. 135/1961 (</w:t>
      </w:r>
      <w:r w:rsidRPr="002803BB">
        <w:rPr>
          <w:rFonts w:ascii="Tahoma" w:hAnsi="Tahoma" w:cs="Tahoma"/>
          <w:sz w:val="20"/>
          <w:szCs w:val="20"/>
        </w:rPr>
        <w:t>cestn</w:t>
      </w:r>
      <w:r w:rsidRPr="002803BB">
        <w:rPr>
          <w:rFonts w:ascii="Tahoma" w:hAnsi="Tahoma" w:cs="Tahoma"/>
          <w:b/>
          <w:i/>
          <w:sz w:val="20"/>
          <w:szCs w:val="20"/>
        </w:rPr>
        <w:t>ý</w:t>
      </w:r>
      <w:r w:rsidRPr="002803BB">
        <w:rPr>
          <w:rFonts w:ascii="Tahoma" w:hAnsi="Tahoma" w:cs="Tahoma"/>
          <w:sz w:val="20"/>
          <w:szCs w:val="20"/>
        </w:rPr>
        <w:t xml:space="preserve"> zákon</w:t>
      </w:r>
      <w:r w:rsidRPr="002803BB">
        <w:rPr>
          <w:rFonts w:ascii="Tahoma" w:hAnsi="Tahoma" w:cs="Tahoma"/>
          <w:b/>
          <w:i/>
          <w:sz w:val="20"/>
          <w:szCs w:val="20"/>
        </w:rPr>
        <w:t>)</w:t>
      </w:r>
      <w:r w:rsidRPr="002803BB">
        <w:rPr>
          <w:rFonts w:ascii="Tahoma" w:hAnsi="Tahoma" w:cs="Tahoma"/>
          <w:sz w:val="20"/>
          <w:szCs w:val="20"/>
        </w:rPr>
        <w:t xml:space="preserve">, na ochranu diaľnic, ciest a miestnych </w:t>
      </w:r>
      <w:r w:rsidRPr="002803BB">
        <w:rPr>
          <w:rFonts w:ascii="Tahoma" w:hAnsi="Tahoma" w:cs="Tahoma"/>
          <w:b/>
          <w:i/>
          <w:sz w:val="20"/>
          <w:szCs w:val="20"/>
        </w:rPr>
        <w:t>ciest</w:t>
      </w:r>
      <w:r w:rsidRPr="002803BB">
        <w:rPr>
          <w:rFonts w:ascii="Tahoma" w:hAnsi="Tahoma" w:cs="Tahoma"/>
          <w:sz w:val="20"/>
          <w:szCs w:val="20"/>
        </w:rPr>
        <w:t xml:space="preserve"> a premávky na nich mimo </w:t>
      </w:r>
      <w:r w:rsidRPr="002803BB">
        <w:rPr>
          <w:rFonts w:ascii="Tahoma" w:hAnsi="Tahoma" w:cs="Tahoma"/>
          <w:b/>
          <w:i/>
          <w:sz w:val="20"/>
          <w:szCs w:val="20"/>
          <w:shd w:val="clear" w:color="auto" w:fill="FFFFFF"/>
        </w:rPr>
        <w:t>zastavaného územia obce vymedzeného platným územným plánom</w:t>
      </w:r>
      <w:r w:rsidRPr="002803BB">
        <w:rPr>
          <w:rFonts w:ascii="Tahoma" w:hAnsi="Tahoma" w:cs="Tahoma"/>
          <w:sz w:val="20"/>
          <w:szCs w:val="20"/>
        </w:rPr>
        <w:t xml:space="preserve"> obce slúžia cestné ochranné pásma. </w:t>
      </w:r>
    </w:p>
    <w:p w14:paraId="0CC38D09" w14:textId="77777777" w:rsidR="00537BEE" w:rsidRPr="002803BB" w:rsidRDefault="00537BEE" w:rsidP="00537BEE">
      <w:pPr>
        <w:tabs>
          <w:tab w:val="left" w:pos="0"/>
        </w:tabs>
        <w:suppressAutoHyphens w:val="0"/>
        <w:spacing w:line="264" w:lineRule="exact"/>
        <w:ind w:firstLine="709"/>
        <w:jc w:val="both"/>
        <w:rPr>
          <w:rFonts w:ascii="Tahoma" w:eastAsia="Calibri" w:hAnsi="Tahoma"/>
          <w:sz w:val="20"/>
          <w:szCs w:val="20"/>
        </w:rPr>
      </w:pPr>
      <w:r w:rsidRPr="002803BB">
        <w:rPr>
          <w:rFonts w:ascii="Tahoma" w:eastAsia="Calibri" w:hAnsi="Tahoma"/>
          <w:sz w:val="20"/>
          <w:szCs w:val="20"/>
        </w:rPr>
        <w:t xml:space="preserve">V zmysle § 11 ods. 2 cestného zákona v cestných ochranných pásmach je zakázaná alebo obmedzená činnosť, ktorá by mohla ohroziť diaľnice, cesty alebo miestne </w:t>
      </w:r>
      <w:r w:rsidRPr="002803BB">
        <w:rPr>
          <w:rFonts w:ascii="Tahoma" w:eastAsia="Calibri" w:hAnsi="Tahoma"/>
          <w:b/>
          <w:i/>
          <w:sz w:val="20"/>
          <w:szCs w:val="20"/>
        </w:rPr>
        <w:t>cesty</w:t>
      </w:r>
      <w:r w:rsidRPr="002803BB">
        <w:rPr>
          <w:rFonts w:ascii="Tahoma" w:eastAsia="Calibri" w:hAnsi="Tahoma"/>
          <w:sz w:val="20"/>
          <w:szCs w:val="20"/>
        </w:rPr>
        <w:t xml:space="preserve"> alebo premávku na nich; príslušný cestný správny orgán povoľuje v odôvodnených prípadoch výnimky z tohto zákazu alebo obmedzenia záväzným stanoviskom. V zmysle § 11 ods. 5 cestného zákona Žiadosť o povolenie výnimky sa podáva v štádiu prípravnej dokumentácie. Výnimky možno povoliť len v odôvodnených prípadoch, ak tým nebudú dotknuté verejné záujmy, najmä dopravné záujmy a záujmy správy dotknutej komunikácie. Povolenie výnimky možno viazať na podmienky. Na povolenie výnimky sa nevzťahujú všeobecné predpisy o správnom konaní.</w:t>
      </w:r>
    </w:p>
    <w:p w14:paraId="45064991" w14:textId="77777777" w:rsidR="00537BEE" w:rsidRPr="002803BB" w:rsidRDefault="00537BEE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1D411B77" w14:textId="77777777" w:rsidR="00537BEE" w:rsidRPr="002803BB" w:rsidRDefault="00537BEE" w:rsidP="00537BEE">
      <w:pPr>
        <w:autoSpaceDE w:val="0"/>
        <w:autoSpaceDN/>
        <w:ind w:left="1080" w:hanging="372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X.2. OCHRANNÉ PÁSMA TECHNICKÉHO VYBAVENIA</w:t>
      </w:r>
    </w:p>
    <w:p w14:paraId="65C76B43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X. VYMEDZENIE OCHRANNÝCH PÁSIEM A CHRÁNENÝCH ÚZEMÍ jej podkapitola  X.2. OCHRANNÉ PÁSMA TECHNICKÉHO VYBAVENIA vrátane jej bodov 2.1. Vodné hospodárstvo a 2.2. Energetika a oznamovacie vedenia </w:t>
      </w:r>
      <w:r w:rsidRPr="002803BB">
        <w:rPr>
          <w:rFonts w:ascii="Tahoma" w:hAnsi="Tahoma" w:cs="Tahoma"/>
          <w:b/>
          <w:i/>
        </w:rPr>
        <w:t>nemení.</w:t>
      </w:r>
    </w:p>
    <w:p w14:paraId="2E6ACAAC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left="1134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51EE0073" w14:textId="77777777" w:rsidR="00537BEE" w:rsidRPr="002803BB" w:rsidRDefault="00537BEE" w:rsidP="00537BEE">
      <w:pPr>
        <w:autoSpaceDE w:val="0"/>
        <w:autoSpaceDN/>
        <w:ind w:left="1080" w:hanging="372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X.3. OSTATNÉ OCHRANNÉ PÁSMA</w:t>
      </w:r>
    </w:p>
    <w:p w14:paraId="32941F0F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X. VYMEDZENIE OCHRANNÝCH PÁSIEM A CHRÁNENÝCH ÚZEMÍ jej podkapitola  X.3. OSTATNÉ OCHRANNÉ PÁSMA </w:t>
      </w:r>
      <w:r w:rsidRPr="002803BB">
        <w:rPr>
          <w:rFonts w:ascii="Tahoma" w:hAnsi="Tahoma" w:cs="Tahoma"/>
          <w:b/>
          <w:i/>
        </w:rPr>
        <w:t xml:space="preserve">mení a dopĺňa </w:t>
      </w:r>
      <w:r w:rsidRPr="002803BB">
        <w:rPr>
          <w:rFonts w:ascii="Tahoma" w:hAnsi="Tahoma" w:cs="Tahoma"/>
          <w:i/>
        </w:rPr>
        <w:t xml:space="preserve">nasledovne (zmeny a doplnenie je vyznačené </w:t>
      </w:r>
      <w:r w:rsidRPr="002803BB">
        <w:rPr>
          <w:rFonts w:ascii="Tahoma" w:hAnsi="Tahoma" w:cs="Tahoma"/>
          <w:b/>
          <w:i/>
        </w:rPr>
        <w:t>tučným písmom kurzívou</w:t>
      </w:r>
      <w:r w:rsidRPr="002803BB">
        <w:rPr>
          <w:rFonts w:ascii="Tahoma" w:hAnsi="Tahoma" w:cs="Tahoma"/>
          <w:i/>
        </w:rPr>
        <w:t>, ostatné nezmenené texty nie sú uvádzané):</w:t>
      </w:r>
    </w:p>
    <w:p w14:paraId="77784FC6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b/>
          <w:i/>
        </w:rPr>
      </w:pPr>
      <w:r w:rsidRPr="002803BB">
        <w:rPr>
          <w:rFonts w:ascii="Tahoma" w:hAnsi="Tahoma" w:cs="Tahoma"/>
          <w:b/>
          <w:i/>
        </w:rPr>
        <w:t>Akúkoľvek investorskú činnosť a výsadbu porastov v blízkosti vodných tokov a ich ochranného pásma je potrebné odsúhlasiť so správcom vodných tokov.</w:t>
      </w:r>
    </w:p>
    <w:p w14:paraId="5D994A27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left="1134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5CBE914F" w14:textId="77777777" w:rsidR="00537BEE" w:rsidRPr="002803BB" w:rsidRDefault="00537BEE" w:rsidP="00537BEE">
      <w:pPr>
        <w:autoSpaceDE w:val="0"/>
        <w:autoSpaceDN/>
        <w:ind w:firstLine="709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>X.4. CHRÁNENÉ ÚZEMIA</w:t>
      </w:r>
    </w:p>
    <w:p w14:paraId="15D9670F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X. VYMEDZENIE OCHRANNÝCH PÁSIEM A CHRÁNENÝCH ÚZEMÍ jej podkapitola X.4. CHRÁNENÉ ÚZEMIA </w:t>
      </w:r>
      <w:r w:rsidRPr="002803BB">
        <w:rPr>
          <w:rFonts w:ascii="Tahoma" w:hAnsi="Tahoma" w:cs="Tahoma"/>
          <w:b/>
          <w:i/>
        </w:rPr>
        <w:t xml:space="preserve">nemení. </w:t>
      </w:r>
    </w:p>
    <w:p w14:paraId="50535861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left="1134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28726857" w14:textId="77777777" w:rsidR="00537BEE" w:rsidRPr="002803BB" w:rsidRDefault="00537BEE" w:rsidP="00537BEE">
      <w:pPr>
        <w:autoSpaceDE w:val="0"/>
        <w:autoSpaceDN/>
        <w:ind w:right="-709"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 xml:space="preserve">X.5. VYMEDZENIE PRIESKUMNÝCH ÚZEMÍ, CHRÁNENÝCH LOŽISKOVÝCH ÚZEMÍ </w:t>
      </w:r>
    </w:p>
    <w:p w14:paraId="4819A90C" w14:textId="77777777" w:rsidR="00537BEE" w:rsidRPr="002803BB" w:rsidRDefault="00537BEE" w:rsidP="00537BEE">
      <w:pPr>
        <w:autoSpaceDE w:val="0"/>
        <w:autoSpaceDN/>
        <w:ind w:right="-709" w:firstLine="708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  <w:t xml:space="preserve">    A DOBÝVACÍCH PRIESTOROV</w:t>
      </w:r>
    </w:p>
    <w:p w14:paraId="1B770A3A" w14:textId="77777777" w:rsidR="00537BEE" w:rsidRPr="002803BB" w:rsidRDefault="00537BEE" w:rsidP="00537BEE">
      <w:pPr>
        <w:pStyle w:val="Standard"/>
        <w:widowControl w:val="0"/>
        <w:shd w:val="clear" w:color="auto" w:fill="FFFFFF"/>
        <w:autoSpaceDE w:val="0"/>
        <w:spacing w:before="80"/>
        <w:ind w:firstLine="709"/>
        <w:jc w:val="both"/>
        <w:rPr>
          <w:rFonts w:ascii="Tahoma" w:hAnsi="Tahoma" w:cs="Tahoma"/>
          <w:i/>
        </w:rPr>
      </w:pPr>
      <w:r w:rsidRPr="002803BB">
        <w:rPr>
          <w:rFonts w:ascii="Tahoma" w:hAnsi="Tahoma" w:cs="Tahoma"/>
          <w:i/>
        </w:rPr>
        <w:t xml:space="preserve">Riešením ZMENY 06/2023 ÚPN obce sa v kapitole X. VYMEDZENIE OCHRANNÝCH PÁSIEM A CHRÁNENÝCH ÚZEMÍ jej podkapitola X.5. VYMEDZENIE PRIESKUMNÝCH ÚZEMÍ, CHRÁNENÝCH LOŽISKOVÝCH ÚZEMÍ A DOBÝVACÍCH PRIESTOROV </w:t>
      </w:r>
      <w:r w:rsidRPr="002803BB">
        <w:rPr>
          <w:rFonts w:ascii="Tahoma" w:hAnsi="Tahoma" w:cs="Tahoma"/>
          <w:b/>
          <w:i/>
        </w:rPr>
        <w:t xml:space="preserve">nemení. </w:t>
      </w:r>
    </w:p>
    <w:p w14:paraId="40D016E1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left="1134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0"/>
          <w:szCs w:val="20"/>
          <w:lang w:eastAsia="ar-SA"/>
        </w:rPr>
      </w:pPr>
    </w:p>
    <w:p w14:paraId="0A0A9E57" w14:textId="77777777" w:rsidR="00537BEE" w:rsidRPr="002803BB" w:rsidRDefault="00537BEE" w:rsidP="00537BEE">
      <w:pPr>
        <w:tabs>
          <w:tab w:val="left" w:pos="1134"/>
        </w:tabs>
        <w:autoSpaceDE w:val="0"/>
        <w:autoSpaceDN/>
        <w:ind w:left="1134" w:hanging="426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>XI.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PLOCHY NA VEREJNOPROSPEŠNÉ STAVBY, NA VYKONANIE DELENIA A SCEĽOVANIE POZEMKOV, NA ASANÁCIU A NA CHRÁNENÉ ČASTI KRAJINY</w:t>
      </w:r>
    </w:p>
    <w:p w14:paraId="546938F6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XI. PLOCHY NA VEREJNOPROSPEŠNÉ STAVBY, NA VYKONANIE DELENIA A SCEĽOVANIE POZEMKOV, NA ASANÁCIU A NA CHRÁNENÉ ČASTI KRAJINY vrátane jej jednotlivých podkapitol XI.1. PLOCHY NA VEREJNOPROSPEŠNÉ STAVBY, XI.2. PLOCHY NA VYKONANIE DELENIA A SCEĽOVANIE POZEMKOV, XI.3. PLOCHY NA ASANÁCIU A STAVEBNÉ UZÁVERY a XI.4. PLOCHY NA CHRÁNENÉ ČASTI KRAJINY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63BB0889" w14:textId="77777777" w:rsidR="00537BEE" w:rsidRPr="002803BB" w:rsidRDefault="00537BEE" w:rsidP="00537BEE">
      <w:pPr>
        <w:tabs>
          <w:tab w:val="left" w:pos="1276"/>
        </w:tabs>
        <w:autoSpaceDE w:val="0"/>
        <w:autoSpaceDN/>
        <w:ind w:firstLine="709"/>
        <w:jc w:val="both"/>
        <w:textAlignment w:val="auto"/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</w:pP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lastRenderedPageBreak/>
        <w:t>XII.</w:t>
      </w:r>
      <w:r w:rsidRPr="002803BB">
        <w:rPr>
          <w:rFonts w:ascii="Tahoma" w:eastAsia="Times New Roman" w:hAnsi="Tahoma"/>
          <w:b/>
          <w:bCs/>
          <w:kern w:val="0"/>
          <w:sz w:val="22"/>
          <w:szCs w:val="22"/>
          <w:u w:val="single"/>
          <w:lang w:eastAsia="ar-SA"/>
        </w:rPr>
        <w:tab/>
        <w:t>NASLEDOVNÁ ÚZEMNOPLÁNOVACIA DOKUMENTÁCIA</w:t>
      </w:r>
    </w:p>
    <w:p w14:paraId="19436170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kapitola XII. NASLEDOVNÁ ÚZEMNOPLÁNOVACIA DOKUMENTÁCIA </w:t>
      </w:r>
      <w:r w:rsidRPr="002803BB">
        <w:rPr>
          <w:rFonts w:ascii="Tahoma" w:eastAsia="Times New Roman" w:hAnsi="Tahoma"/>
          <w:b/>
          <w:i/>
          <w:sz w:val="20"/>
          <w:szCs w:val="20"/>
        </w:rPr>
        <w:t>nemení.</w:t>
      </w:r>
    </w:p>
    <w:p w14:paraId="48FDCE38" w14:textId="77777777" w:rsidR="00537BEE" w:rsidRPr="002803BB" w:rsidRDefault="00537BEE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0"/>
          <w:szCs w:val="20"/>
        </w:rPr>
      </w:pPr>
    </w:p>
    <w:p w14:paraId="4BDD0D97" w14:textId="77777777" w:rsidR="00537BEE" w:rsidRPr="00E5550F" w:rsidRDefault="00537BEE" w:rsidP="00537BEE">
      <w:pPr>
        <w:suppressAutoHyphens w:val="0"/>
        <w:autoSpaceDE w:val="0"/>
        <w:adjustRightInd w:val="0"/>
        <w:ind w:firstLine="708"/>
        <w:jc w:val="both"/>
        <w:textAlignment w:val="auto"/>
        <w:rPr>
          <w:rFonts w:ascii="Tahoma" w:eastAsia="Times New Roman" w:hAnsi="Tahoma"/>
          <w:b/>
          <w:kern w:val="0"/>
          <w:sz w:val="22"/>
          <w:szCs w:val="22"/>
          <w:u w:val="single"/>
        </w:rPr>
      </w:pPr>
      <w:r w:rsidRPr="00E5550F">
        <w:rPr>
          <w:rFonts w:ascii="Tahoma" w:eastAsia="Times New Roman" w:hAnsi="Tahoma"/>
          <w:b/>
          <w:kern w:val="0"/>
          <w:sz w:val="22"/>
          <w:szCs w:val="22"/>
          <w:u w:val="single"/>
        </w:rPr>
        <w:t>XIII.</w:t>
      </w:r>
      <w:r w:rsidRPr="00E5550F">
        <w:rPr>
          <w:rFonts w:ascii="Tahoma" w:eastAsia="Times New Roman" w:hAnsi="Tahoma"/>
          <w:b/>
          <w:kern w:val="0"/>
          <w:sz w:val="22"/>
          <w:szCs w:val="22"/>
          <w:u w:val="single"/>
        </w:rPr>
        <w:tab/>
        <w:t>VEREJNOPROSPEŠNÉ STAVBY</w:t>
      </w:r>
    </w:p>
    <w:p w14:paraId="7A5F2C20" w14:textId="77777777" w:rsidR="00537BEE" w:rsidRPr="002803BB" w:rsidRDefault="00537BEE" w:rsidP="00537BEE">
      <w:pPr>
        <w:shd w:val="clear" w:color="auto" w:fill="FFFFFF"/>
        <w:autoSpaceDE w:val="0"/>
        <w:spacing w:before="120"/>
        <w:ind w:firstLine="709"/>
        <w:jc w:val="both"/>
        <w:rPr>
          <w:rFonts w:ascii="Tahoma" w:eastAsia="Times New Roman" w:hAnsi="Tahoma"/>
          <w:i/>
          <w:sz w:val="20"/>
          <w:szCs w:val="20"/>
        </w:rPr>
      </w:pPr>
      <w:r w:rsidRPr="002803BB">
        <w:rPr>
          <w:rFonts w:ascii="Tahoma" w:eastAsia="Times New Roman" w:hAnsi="Tahoma"/>
          <w:i/>
          <w:sz w:val="20"/>
          <w:szCs w:val="20"/>
        </w:rPr>
        <w:t xml:space="preserve">Riešením ZMENY 06/2023 ÚPN obce sa v časti C. NÁVRH ZÁVÄZNEJ ČASTI - REGULATÍVY ÚZEMNÉHO ROZVOJA v kapitole XIII. VEREJNOPROSPEŠNÉ STAVBY jej podkapitoly XIII.1. VEREJNOPROSPEŠNÉ STAVBY VYPLÝVAJÚCE Z ÚPN R TTSK a XIII.2. VEREJNOPROSPEŠNÉ STAVBY VYPLÝVAJÚCE Z ÚPN OBCE </w:t>
      </w:r>
      <w:r w:rsidRPr="002803BB">
        <w:rPr>
          <w:rFonts w:ascii="Tahoma" w:eastAsia="Times New Roman" w:hAnsi="Tahoma"/>
          <w:b/>
          <w:i/>
          <w:sz w:val="20"/>
          <w:szCs w:val="20"/>
        </w:rPr>
        <w:t xml:space="preserve"> nemení.</w:t>
      </w:r>
    </w:p>
    <w:sectPr w:rsidR="00537BEE" w:rsidRPr="002803BB">
      <w:footerReference w:type="default" r:id="rId7"/>
      <w:pgSz w:w="11905" w:h="16837"/>
      <w:pgMar w:top="1304" w:right="1134" w:bottom="1304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766B" w14:textId="77777777" w:rsidR="00C161D3" w:rsidRDefault="00C161D3">
      <w:r>
        <w:separator/>
      </w:r>
    </w:p>
  </w:endnote>
  <w:endnote w:type="continuationSeparator" w:id="0">
    <w:p w14:paraId="59E70252" w14:textId="77777777" w:rsidR="00C161D3" w:rsidRDefault="00C1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3D05" w14:textId="77777777" w:rsidR="00C8085D" w:rsidRDefault="00C8085D">
    <w:pPr>
      <w:pStyle w:val="Pta"/>
      <w:ind w:right="360"/>
      <w:rPr>
        <w:rFonts w:ascii="Century Gothic" w:hAnsi="Century Gothic" w:cs="Tahoma"/>
        <w:smallCaps/>
        <w:color w:val="808080"/>
      </w:rPr>
    </w:pPr>
    <w:r>
      <w:rPr>
        <w:rFonts w:ascii="Century Gothic" w:hAnsi="Century Gothic" w:cs="Tahoma"/>
        <w:smallCaps/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4936F" wp14:editId="2BE8D6BA">
              <wp:simplePos x="0" y="0"/>
              <wp:positionH relativeFrom="column">
                <wp:posOffset>5774760</wp:posOffset>
              </wp:positionH>
              <wp:positionV relativeFrom="paragraph">
                <wp:posOffset>720</wp:posOffset>
              </wp:positionV>
              <wp:extent cx="158760" cy="129600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60" cy="129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E826966" w14:textId="77777777" w:rsidR="00C8085D" w:rsidRDefault="00C8085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rFonts w:ascii="Century Gothic" w:hAnsi="Century Gothic" w:cs="Tahoma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rFonts w:ascii="Century Gothic" w:hAnsi="Century Gothic" w:cs="Tahoma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  <w:rFonts w:ascii="Century Gothic" w:hAnsi="Century Gothic" w:cs="Tahoma"/>
                            </w:rPr>
                            <w:fldChar w:fldCharType="separate"/>
                          </w:r>
                          <w:r w:rsidR="009D2405">
                            <w:rPr>
                              <w:rStyle w:val="slostrany"/>
                              <w:rFonts w:ascii="Century Gothic" w:hAnsi="Century Gothic" w:cs="Tahoma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  <w:rFonts w:ascii="Century Gothic" w:hAnsi="Century Gothic" w:cs="Tahom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w14:anchorId="3194936F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454.7pt;margin-top:.05pt;width:12.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" filled="f" stroked="f">
              <v:textbox inset="0,0,0,0">
                <w:txbxContent>
                  <w:p w14:paraId="1E826966" w14:textId="77777777" w:rsidR="00C8085D" w:rsidRDefault="00C8085D">
                    <w:pPr>
                      <w:pStyle w:val="Pta"/>
                    </w:pPr>
                    <w:r>
                      <w:rPr>
                        <w:rStyle w:val="slostrany"/>
                        <w:rFonts w:ascii="Century Gothic" w:hAnsi="Century Gothic" w:cs="Tahoma"/>
                      </w:rPr>
                      <w:fldChar w:fldCharType="begin"/>
                    </w:r>
                    <w:r>
                      <w:rPr>
                        <w:rStyle w:val="slostrany"/>
                        <w:rFonts w:ascii="Century Gothic" w:hAnsi="Century Gothic" w:cs="Tahoma"/>
                      </w:rPr>
                      <w:instrText xml:space="preserve"> PAGE </w:instrText>
                    </w:r>
                    <w:r>
                      <w:rPr>
                        <w:rStyle w:val="slostrany"/>
                        <w:rFonts w:ascii="Century Gothic" w:hAnsi="Century Gothic" w:cs="Tahoma"/>
                      </w:rPr>
                      <w:fldChar w:fldCharType="separate"/>
                    </w:r>
                    <w:r w:rsidR="009D2405">
                      <w:rPr>
                        <w:rStyle w:val="slostrany"/>
                        <w:rFonts w:ascii="Century Gothic" w:hAnsi="Century Gothic" w:cs="Tahoma"/>
                        <w:noProof/>
                      </w:rPr>
                      <w:t>2</w:t>
                    </w:r>
                    <w:r>
                      <w:rPr>
                        <w:rStyle w:val="slostrany"/>
                        <w:rFonts w:ascii="Century Gothic" w:hAnsi="Century Gothic" w:cs="Tahoma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16B9" w14:textId="77777777" w:rsidR="00C161D3" w:rsidRDefault="00C161D3">
      <w:r>
        <w:rPr>
          <w:color w:val="000000"/>
        </w:rPr>
        <w:separator/>
      </w:r>
    </w:p>
  </w:footnote>
  <w:footnote w:type="continuationSeparator" w:id="0">
    <w:p w14:paraId="62695A7E" w14:textId="77777777" w:rsidR="00C161D3" w:rsidRDefault="00C1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DEC"/>
    <w:multiLevelType w:val="multilevel"/>
    <w:tmpl w:val="2610A230"/>
    <w:styleLink w:val="WW8Num3"/>
    <w:lvl w:ilvl="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3A640B"/>
    <w:multiLevelType w:val="hybridMultilevel"/>
    <w:tmpl w:val="A3B60D20"/>
    <w:lvl w:ilvl="0" w:tplc="9FE47958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1245A6"/>
    <w:multiLevelType w:val="multilevel"/>
    <w:tmpl w:val="6F30043A"/>
    <w:styleLink w:val="WW8Num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FC73CD5"/>
    <w:multiLevelType w:val="multilevel"/>
    <w:tmpl w:val="1338947C"/>
    <w:styleLink w:val="WW8Num1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81B4E40"/>
    <w:multiLevelType w:val="hybridMultilevel"/>
    <w:tmpl w:val="1FAC740E"/>
    <w:lvl w:ilvl="0" w:tplc="01EAA8E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FA3CE4"/>
    <w:multiLevelType w:val="hybridMultilevel"/>
    <w:tmpl w:val="8D8A59A8"/>
    <w:lvl w:ilvl="0" w:tplc="23D4E75E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456550"/>
    <w:multiLevelType w:val="hybridMultilevel"/>
    <w:tmpl w:val="BB0409F0"/>
    <w:lvl w:ilvl="0" w:tplc="7A0EEC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924B2"/>
    <w:multiLevelType w:val="multilevel"/>
    <w:tmpl w:val="EB944E04"/>
    <w:styleLink w:val="WW8Num1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7EC0CCF"/>
    <w:multiLevelType w:val="multilevel"/>
    <w:tmpl w:val="275C573A"/>
    <w:styleLink w:val="WW8Num9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8D1C2B"/>
    <w:multiLevelType w:val="multilevel"/>
    <w:tmpl w:val="9C9CADD0"/>
    <w:styleLink w:val="WW8Num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D6D50C7"/>
    <w:multiLevelType w:val="multilevel"/>
    <w:tmpl w:val="6B9247F4"/>
    <w:styleLink w:val="WW8Num7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405455E"/>
    <w:multiLevelType w:val="multilevel"/>
    <w:tmpl w:val="D18097EC"/>
    <w:styleLink w:val="WW8Num1"/>
    <w:lvl w:ilvl="0">
      <w:numFmt w:val="bullet"/>
      <w:lvlText w:val="–"/>
      <w:lvlJc w:val="left"/>
      <w:pPr>
        <w:ind w:left="70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D163D9"/>
    <w:multiLevelType w:val="multilevel"/>
    <w:tmpl w:val="9B2EAE56"/>
    <w:styleLink w:val="WW8Num10"/>
    <w:lvl w:ilvl="0">
      <w:start w:val="3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73A190E"/>
    <w:multiLevelType w:val="hybridMultilevel"/>
    <w:tmpl w:val="7C5C5E38"/>
    <w:lvl w:ilvl="0" w:tplc="C8141CC8">
      <w:start w:val="30"/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ahoma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578D02AF"/>
    <w:multiLevelType w:val="multilevel"/>
    <w:tmpl w:val="212261AA"/>
    <w:styleLink w:val="WW8Num5"/>
    <w:lvl w:ilvl="0">
      <w:numFmt w:val="bullet"/>
      <w:lvlText w:val=""/>
      <w:lvlJc w:val="left"/>
      <w:pPr>
        <w:ind w:left="1579" w:hanging="8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BB56C08"/>
    <w:multiLevelType w:val="multilevel"/>
    <w:tmpl w:val="96361942"/>
    <w:styleLink w:val="WW8Num8"/>
    <w:lvl w:ilvl="0">
      <w:numFmt w:val="bullet"/>
      <w:lvlText w:val="–"/>
      <w:lvlJc w:val="left"/>
      <w:pPr>
        <w:ind w:left="4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AD2E53"/>
    <w:multiLevelType w:val="multilevel"/>
    <w:tmpl w:val="AECC7CF6"/>
    <w:styleLink w:val="WW8Num11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E631A10"/>
    <w:multiLevelType w:val="multilevel"/>
    <w:tmpl w:val="3AE27424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EE05AC6"/>
    <w:multiLevelType w:val="multilevel"/>
    <w:tmpl w:val="325074D2"/>
    <w:styleLink w:val="WW8Num14"/>
    <w:lvl w:ilvl="0">
      <w:start w:val="3"/>
      <w:numFmt w:val="decimal"/>
      <w:lvlText w:val="%1."/>
      <w:lvlJc w:val="left"/>
      <w:pPr>
        <w:ind w:left="184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E9153D2"/>
    <w:multiLevelType w:val="multilevel"/>
    <w:tmpl w:val="E182F456"/>
    <w:styleLink w:val="WW8Num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21498748">
    <w:abstractNumId w:val="11"/>
  </w:num>
  <w:num w:numId="2" w16cid:durableId="1952009632">
    <w:abstractNumId w:val="17"/>
  </w:num>
  <w:num w:numId="3" w16cid:durableId="1275282528">
    <w:abstractNumId w:val="0"/>
  </w:num>
  <w:num w:numId="4" w16cid:durableId="97145516">
    <w:abstractNumId w:val="9"/>
  </w:num>
  <w:num w:numId="5" w16cid:durableId="955988884">
    <w:abstractNumId w:val="14"/>
  </w:num>
  <w:num w:numId="6" w16cid:durableId="250701009">
    <w:abstractNumId w:val="2"/>
  </w:num>
  <w:num w:numId="7" w16cid:durableId="1128815800">
    <w:abstractNumId w:val="10"/>
  </w:num>
  <w:num w:numId="8" w16cid:durableId="660617682">
    <w:abstractNumId w:val="15"/>
  </w:num>
  <w:num w:numId="9" w16cid:durableId="1491362020">
    <w:abstractNumId w:val="8"/>
  </w:num>
  <w:num w:numId="10" w16cid:durableId="1607810073">
    <w:abstractNumId w:val="12"/>
  </w:num>
  <w:num w:numId="11" w16cid:durableId="1011643423">
    <w:abstractNumId w:val="16"/>
  </w:num>
  <w:num w:numId="12" w16cid:durableId="1588028616">
    <w:abstractNumId w:val="7"/>
  </w:num>
  <w:num w:numId="13" w16cid:durableId="33895341">
    <w:abstractNumId w:val="3"/>
  </w:num>
  <w:num w:numId="14" w16cid:durableId="928389113">
    <w:abstractNumId w:val="18"/>
  </w:num>
  <w:num w:numId="15" w16cid:durableId="259921856">
    <w:abstractNumId w:val="19"/>
  </w:num>
  <w:num w:numId="16" w16cid:durableId="330522830">
    <w:abstractNumId w:val="13"/>
  </w:num>
  <w:num w:numId="17" w16cid:durableId="1637100280">
    <w:abstractNumId w:val="4"/>
  </w:num>
  <w:num w:numId="18" w16cid:durableId="1213496844">
    <w:abstractNumId w:val="1"/>
  </w:num>
  <w:num w:numId="19" w16cid:durableId="1584297921">
    <w:abstractNumId w:val="5"/>
  </w:num>
  <w:num w:numId="20" w16cid:durableId="381828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D23"/>
    <w:rsid w:val="000000CA"/>
    <w:rsid w:val="00015440"/>
    <w:rsid w:val="00026E1F"/>
    <w:rsid w:val="000326C1"/>
    <w:rsid w:val="0005272F"/>
    <w:rsid w:val="00076856"/>
    <w:rsid w:val="00077196"/>
    <w:rsid w:val="00093E3B"/>
    <w:rsid w:val="000A323E"/>
    <w:rsid w:val="000B081C"/>
    <w:rsid w:val="000B29A3"/>
    <w:rsid w:val="000B508B"/>
    <w:rsid w:val="000C4C22"/>
    <w:rsid w:val="000C7842"/>
    <w:rsid w:val="000D4922"/>
    <w:rsid w:val="000E0AF8"/>
    <w:rsid w:val="000E4B2C"/>
    <w:rsid w:val="000F3429"/>
    <w:rsid w:val="000F5139"/>
    <w:rsid w:val="00105543"/>
    <w:rsid w:val="001251F3"/>
    <w:rsid w:val="00133AD9"/>
    <w:rsid w:val="001418D6"/>
    <w:rsid w:val="00142813"/>
    <w:rsid w:val="00142B5E"/>
    <w:rsid w:val="00144422"/>
    <w:rsid w:val="0014703F"/>
    <w:rsid w:val="00160915"/>
    <w:rsid w:val="00163135"/>
    <w:rsid w:val="00174CDC"/>
    <w:rsid w:val="00176F19"/>
    <w:rsid w:val="001800B0"/>
    <w:rsid w:val="00185964"/>
    <w:rsid w:val="00191799"/>
    <w:rsid w:val="0019294B"/>
    <w:rsid w:val="001A2FC7"/>
    <w:rsid w:val="001A723F"/>
    <w:rsid w:val="001C29D2"/>
    <w:rsid w:val="001D5B95"/>
    <w:rsid w:val="001E7D23"/>
    <w:rsid w:val="001F6713"/>
    <w:rsid w:val="00203D9C"/>
    <w:rsid w:val="0020511F"/>
    <w:rsid w:val="002100EB"/>
    <w:rsid w:val="00225CB9"/>
    <w:rsid w:val="0026501D"/>
    <w:rsid w:val="00266BAF"/>
    <w:rsid w:val="002676F2"/>
    <w:rsid w:val="002803BB"/>
    <w:rsid w:val="002A3AF4"/>
    <w:rsid w:val="002A4668"/>
    <w:rsid w:val="002A737B"/>
    <w:rsid w:val="002A7AB3"/>
    <w:rsid w:val="002B2EA5"/>
    <w:rsid w:val="002B557B"/>
    <w:rsid w:val="002C6C54"/>
    <w:rsid w:val="002E2239"/>
    <w:rsid w:val="003075D4"/>
    <w:rsid w:val="00311087"/>
    <w:rsid w:val="0031139F"/>
    <w:rsid w:val="0031565F"/>
    <w:rsid w:val="00335AA6"/>
    <w:rsid w:val="003426A8"/>
    <w:rsid w:val="003463CA"/>
    <w:rsid w:val="00360FA6"/>
    <w:rsid w:val="003617F2"/>
    <w:rsid w:val="0036515D"/>
    <w:rsid w:val="003664F0"/>
    <w:rsid w:val="00386816"/>
    <w:rsid w:val="003905CC"/>
    <w:rsid w:val="00397086"/>
    <w:rsid w:val="003A3101"/>
    <w:rsid w:val="003A4E31"/>
    <w:rsid w:val="003B1E92"/>
    <w:rsid w:val="003C7EB9"/>
    <w:rsid w:val="003D21E3"/>
    <w:rsid w:val="003E10F7"/>
    <w:rsid w:val="003E1B8E"/>
    <w:rsid w:val="003E63AF"/>
    <w:rsid w:val="0042085F"/>
    <w:rsid w:val="00424E30"/>
    <w:rsid w:val="004332F7"/>
    <w:rsid w:val="0043505D"/>
    <w:rsid w:val="00464836"/>
    <w:rsid w:val="00477FAD"/>
    <w:rsid w:val="00480C0B"/>
    <w:rsid w:val="00487B21"/>
    <w:rsid w:val="00494877"/>
    <w:rsid w:val="004B4127"/>
    <w:rsid w:val="004B6738"/>
    <w:rsid w:val="004D76DC"/>
    <w:rsid w:val="005019E8"/>
    <w:rsid w:val="00507190"/>
    <w:rsid w:val="0050782C"/>
    <w:rsid w:val="00515A11"/>
    <w:rsid w:val="005162BE"/>
    <w:rsid w:val="00522DEF"/>
    <w:rsid w:val="00530318"/>
    <w:rsid w:val="005345F3"/>
    <w:rsid w:val="00537BEE"/>
    <w:rsid w:val="00541505"/>
    <w:rsid w:val="0054290F"/>
    <w:rsid w:val="005622A8"/>
    <w:rsid w:val="005676C0"/>
    <w:rsid w:val="00574DD7"/>
    <w:rsid w:val="00582B78"/>
    <w:rsid w:val="00594238"/>
    <w:rsid w:val="005944EB"/>
    <w:rsid w:val="005B30BE"/>
    <w:rsid w:val="005C4661"/>
    <w:rsid w:val="005C5364"/>
    <w:rsid w:val="005D48F9"/>
    <w:rsid w:val="005E317C"/>
    <w:rsid w:val="005F4A29"/>
    <w:rsid w:val="005F65DF"/>
    <w:rsid w:val="006017EF"/>
    <w:rsid w:val="00605D88"/>
    <w:rsid w:val="00631C78"/>
    <w:rsid w:val="0063476A"/>
    <w:rsid w:val="006360DA"/>
    <w:rsid w:val="006434D7"/>
    <w:rsid w:val="0064486B"/>
    <w:rsid w:val="0065119C"/>
    <w:rsid w:val="00686F0C"/>
    <w:rsid w:val="006909AE"/>
    <w:rsid w:val="006B0360"/>
    <w:rsid w:val="006B3CAD"/>
    <w:rsid w:val="006D2604"/>
    <w:rsid w:val="006E3B12"/>
    <w:rsid w:val="0072487F"/>
    <w:rsid w:val="00730C45"/>
    <w:rsid w:val="00734E48"/>
    <w:rsid w:val="00735F13"/>
    <w:rsid w:val="00737797"/>
    <w:rsid w:val="00742A67"/>
    <w:rsid w:val="00745FCB"/>
    <w:rsid w:val="00752A03"/>
    <w:rsid w:val="00766704"/>
    <w:rsid w:val="00767273"/>
    <w:rsid w:val="00776D96"/>
    <w:rsid w:val="00785AEC"/>
    <w:rsid w:val="007A214A"/>
    <w:rsid w:val="007B2F42"/>
    <w:rsid w:val="007C2A32"/>
    <w:rsid w:val="007C378D"/>
    <w:rsid w:val="007C51A1"/>
    <w:rsid w:val="007C5F96"/>
    <w:rsid w:val="007D0718"/>
    <w:rsid w:val="007D0D7D"/>
    <w:rsid w:val="007D3B97"/>
    <w:rsid w:val="007E3B93"/>
    <w:rsid w:val="007F0DF4"/>
    <w:rsid w:val="00804B92"/>
    <w:rsid w:val="00806E0E"/>
    <w:rsid w:val="00814821"/>
    <w:rsid w:val="0081678C"/>
    <w:rsid w:val="008275AF"/>
    <w:rsid w:val="00840EB9"/>
    <w:rsid w:val="00852B41"/>
    <w:rsid w:val="00864D8F"/>
    <w:rsid w:val="00881E89"/>
    <w:rsid w:val="00887ECD"/>
    <w:rsid w:val="008A0ADD"/>
    <w:rsid w:val="008A7F09"/>
    <w:rsid w:val="008B331C"/>
    <w:rsid w:val="008B4183"/>
    <w:rsid w:val="008C33CC"/>
    <w:rsid w:val="008C3D36"/>
    <w:rsid w:val="008C3D60"/>
    <w:rsid w:val="008C6B60"/>
    <w:rsid w:val="008C6CB5"/>
    <w:rsid w:val="008D27A9"/>
    <w:rsid w:val="008E71D4"/>
    <w:rsid w:val="009052D9"/>
    <w:rsid w:val="00911A8A"/>
    <w:rsid w:val="009370F2"/>
    <w:rsid w:val="00952DBA"/>
    <w:rsid w:val="009569A2"/>
    <w:rsid w:val="00970452"/>
    <w:rsid w:val="00973E0B"/>
    <w:rsid w:val="00981687"/>
    <w:rsid w:val="0098361E"/>
    <w:rsid w:val="0099412C"/>
    <w:rsid w:val="00996E67"/>
    <w:rsid w:val="009A74EE"/>
    <w:rsid w:val="009C5035"/>
    <w:rsid w:val="009D2405"/>
    <w:rsid w:val="009E1895"/>
    <w:rsid w:val="009E43A5"/>
    <w:rsid w:val="009F0A8B"/>
    <w:rsid w:val="00A20FA8"/>
    <w:rsid w:val="00A41CA8"/>
    <w:rsid w:val="00A602DC"/>
    <w:rsid w:val="00A636B2"/>
    <w:rsid w:val="00A67048"/>
    <w:rsid w:val="00A94A1D"/>
    <w:rsid w:val="00A95134"/>
    <w:rsid w:val="00AB21F9"/>
    <w:rsid w:val="00AB4539"/>
    <w:rsid w:val="00AB7302"/>
    <w:rsid w:val="00AC47CB"/>
    <w:rsid w:val="00AE297B"/>
    <w:rsid w:val="00AF2604"/>
    <w:rsid w:val="00AF77FF"/>
    <w:rsid w:val="00B122EB"/>
    <w:rsid w:val="00B125FC"/>
    <w:rsid w:val="00B1323F"/>
    <w:rsid w:val="00B14E10"/>
    <w:rsid w:val="00B2200F"/>
    <w:rsid w:val="00B24386"/>
    <w:rsid w:val="00B354E5"/>
    <w:rsid w:val="00B656E3"/>
    <w:rsid w:val="00B7565F"/>
    <w:rsid w:val="00B87492"/>
    <w:rsid w:val="00B87A4E"/>
    <w:rsid w:val="00BB412E"/>
    <w:rsid w:val="00BC68FB"/>
    <w:rsid w:val="00BD6C74"/>
    <w:rsid w:val="00BD7024"/>
    <w:rsid w:val="00BE0A8F"/>
    <w:rsid w:val="00BF2670"/>
    <w:rsid w:val="00C0129D"/>
    <w:rsid w:val="00C143B6"/>
    <w:rsid w:val="00C161D3"/>
    <w:rsid w:val="00C6299E"/>
    <w:rsid w:val="00C77E2D"/>
    <w:rsid w:val="00C8085D"/>
    <w:rsid w:val="00C9219F"/>
    <w:rsid w:val="00C94515"/>
    <w:rsid w:val="00C960CB"/>
    <w:rsid w:val="00CA33AC"/>
    <w:rsid w:val="00CA35DF"/>
    <w:rsid w:val="00CC3095"/>
    <w:rsid w:val="00CD2F0B"/>
    <w:rsid w:val="00CD57EE"/>
    <w:rsid w:val="00D05453"/>
    <w:rsid w:val="00D2664A"/>
    <w:rsid w:val="00D32183"/>
    <w:rsid w:val="00D44556"/>
    <w:rsid w:val="00D6708A"/>
    <w:rsid w:val="00D83DB1"/>
    <w:rsid w:val="00DB017A"/>
    <w:rsid w:val="00DC42A0"/>
    <w:rsid w:val="00DD4AC8"/>
    <w:rsid w:val="00DF0B34"/>
    <w:rsid w:val="00E1039C"/>
    <w:rsid w:val="00E12C95"/>
    <w:rsid w:val="00E22EB0"/>
    <w:rsid w:val="00E34FB7"/>
    <w:rsid w:val="00E4600C"/>
    <w:rsid w:val="00E53282"/>
    <w:rsid w:val="00E5550F"/>
    <w:rsid w:val="00E72AB5"/>
    <w:rsid w:val="00E8143C"/>
    <w:rsid w:val="00E85E56"/>
    <w:rsid w:val="00E87345"/>
    <w:rsid w:val="00E97804"/>
    <w:rsid w:val="00EC0061"/>
    <w:rsid w:val="00EC1D40"/>
    <w:rsid w:val="00EF2435"/>
    <w:rsid w:val="00EF727A"/>
    <w:rsid w:val="00F0144B"/>
    <w:rsid w:val="00F04246"/>
    <w:rsid w:val="00F06BF6"/>
    <w:rsid w:val="00F07D3C"/>
    <w:rsid w:val="00F10C49"/>
    <w:rsid w:val="00F1129A"/>
    <w:rsid w:val="00F12E57"/>
    <w:rsid w:val="00F27D8B"/>
    <w:rsid w:val="00F51489"/>
    <w:rsid w:val="00F8690B"/>
    <w:rsid w:val="00F92023"/>
    <w:rsid w:val="00FA081C"/>
    <w:rsid w:val="00FA5966"/>
    <w:rsid w:val="00FB33C1"/>
    <w:rsid w:val="00FB592D"/>
    <w:rsid w:val="00FB72E1"/>
    <w:rsid w:val="00FC7D0A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B86C"/>
  <w15:docId w15:val="{EB3E31B4-F5E9-4808-805C-357D49D3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Standard"/>
    <w:pPr>
      <w:keepNext/>
      <w:jc w:val="right"/>
      <w:outlineLvl w:val="0"/>
    </w:pPr>
    <w:rPr>
      <w:rFonts w:ascii="Copperplate Gothic Bold" w:hAnsi="Copperplate Gothic Bold"/>
      <w:b/>
      <w:bCs/>
      <w:sz w:val="48"/>
      <w:szCs w:val="48"/>
    </w:rPr>
  </w:style>
  <w:style w:type="paragraph" w:styleId="Nadpis2">
    <w:name w:val="heading 2"/>
    <w:basedOn w:val="Standard"/>
    <w:next w:val="Standard"/>
    <w:pPr>
      <w:keepNext/>
      <w:jc w:val="right"/>
      <w:outlineLvl w:val="1"/>
    </w:pPr>
    <w:rPr>
      <w:rFonts w:ascii="Copperplate Gothic Bold" w:hAnsi="Copperplate Gothic Bold"/>
      <w:b/>
      <w:bCs/>
      <w:sz w:val="32"/>
      <w:szCs w:val="32"/>
    </w:rPr>
  </w:style>
  <w:style w:type="paragraph" w:styleId="Nadpis3">
    <w:name w:val="heading 3"/>
    <w:basedOn w:val="Standard"/>
    <w:next w:val="Standard"/>
    <w:pPr>
      <w:keepNext/>
      <w:widowControl w:val="0"/>
      <w:autoSpaceDE w:val="0"/>
      <w:ind w:right="-709"/>
      <w:jc w:val="both"/>
      <w:outlineLvl w:val="2"/>
    </w:pPr>
    <w:rPr>
      <w:b/>
      <w:color w:val="FF0000"/>
      <w:u w:val="single"/>
    </w:rPr>
  </w:style>
  <w:style w:type="paragraph" w:styleId="Nadpis4">
    <w:name w:val="heading 4"/>
    <w:basedOn w:val="Standard"/>
    <w:next w:val="Standard"/>
    <w:pPr>
      <w:keepNext/>
      <w:widowControl w:val="0"/>
      <w:shd w:val="clear" w:color="auto" w:fill="FFFFFF"/>
      <w:autoSpaceDE w:val="0"/>
      <w:ind w:right="-709"/>
      <w:jc w:val="both"/>
      <w:outlineLvl w:val="3"/>
    </w:pPr>
    <w:rPr>
      <w:b/>
      <w:color w:val="FF0000"/>
      <w:u w:val="single"/>
    </w:rPr>
  </w:style>
  <w:style w:type="paragraph" w:styleId="Nadpis5">
    <w:name w:val="heading 5"/>
    <w:basedOn w:val="Standard"/>
    <w:next w:val="Standard"/>
    <w:pPr>
      <w:keepNext/>
      <w:ind w:left="1416" w:hanging="708"/>
      <w:jc w:val="both"/>
      <w:outlineLvl w:val="4"/>
    </w:pPr>
    <w:rPr>
      <w:b/>
      <w:bCs/>
      <w:sz w:val="22"/>
    </w:rPr>
  </w:style>
  <w:style w:type="paragraph" w:styleId="Nadpis6">
    <w:name w:val="heading 6"/>
    <w:basedOn w:val="Standard"/>
    <w:next w:val="Standard"/>
    <w:pPr>
      <w:keepNext/>
      <w:widowControl w:val="0"/>
      <w:autoSpaceDE w:val="0"/>
      <w:ind w:right="-709"/>
      <w:jc w:val="both"/>
      <w:outlineLvl w:val="5"/>
    </w:pPr>
    <w:rPr>
      <w:b/>
      <w:color w:val="800080"/>
      <w:sz w:val="22"/>
    </w:rPr>
  </w:style>
  <w:style w:type="paragraph" w:styleId="Nadpis7">
    <w:name w:val="heading 7"/>
    <w:basedOn w:val="Standard"/>
    <w:next w:val="Standard"/>
    <w:pPr>
      <w:keepNext/>
      <w:widowControl w:val="0"/>
      <w:shd w:val="clear" w:color="auto" w:fill="FFFFFF"/>
      <w:autoSpaceDE w:val="0"/>
      <w:ind w:right="-709"/>
      <w:jc w:val="both"/>
      <w:outlineLvl w:val="6"/>
    </w:pPr>
    <w:rPr>
      <w:b/>
      <w:color w:val="800080"/>
      <w:sz w:val="22"/>
    </w:rPr>
  </w:style>
  <w:style w:type="paragraph" w:styleId="Nadpis8">
    <w:name w:val="heading 8"/>
    <w:basedOn w:val="Standard"/>
    <w:next w:val="Standard"/>
    <w:pPr>
      <w:keepNext/>
      <w:widowControl w:val="0"/>
      <w:shd w:val="clear" w:color="auto" w:fill="FFFFFF"/>
      <w:autoSpaceDE w:val="0"/>
      <w:ind w:right="-709"/>
      <w:jc w:val="both"/>
      <w:outlineLvl w:val="7"/>
    </w:pPr>
    <w:rPr>
      <w:b/>
      <w:bCs/>
      <w:sz w:val="22"/>
    </w:rPr>
  </w:style>
  <w:style w:type="paragraph" w:styleId="Nadpis9">
    <w:name w:val="heading 9"/>
    <w:basedOn w:val="Standard"/>
    <w:next w:val="Standard"/>
    <w:pPr>
      <w:keepNext/>
      <w:ind w:left="709"/>
      <w:jc w:val="both"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ind w:right="-142"/>
      <w:jc w:val="both"/>
    </w:pPr>
    <w:rPr>
      <w:sz w:val="22"/>
    </w:rPr>
  </w:style>
  <w:style w:type="paragraph" w:customStyle="1" w:styleId="Textbodyindent">
    <w:name w:val="Text body indent"/>
    <w:basedOn w:val="Standard"/>
    <w:pPr>
      <w:widowControl w:val="0"/>
      <w:autoSpaceDE w:val="0"/>
      <w:ind w:right="-441" w:firstLine="708"/>
      <w:jc w:val="both"/>
    </w:pPr>
    <w:rPr>
      <w:sz w:val="22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titul">
    <w:name w:val="Subtitle"/>
    <w:basedOn w:val="Standard"/>
    <w:next w:val="Textbody"/>
    <w:pPr>
      <w:jc w:val="center"/>
    </w:pPr>
    <w:rPr>
      <w:b/>
      <w:sz w:val="28"/>
    </w:rPr>
  </w:style>
  <w:style w:type="paragraph" w:styleId="Zoznam">
    <w:name w:val="List"/>
    <w:basedOn w:val="Textbody"/>
    <w:rPr>
      <w:rFonts w:cs="Tahoma"/>
    </w:rPr>
  </w:style>
  <w:style w:type="paragraph" w:styleId="Hlavika">
    <w:name w:val="header"/>
    <w:basedOn w:val="Standard"/>
    <w:pPr>
      <w:tabs>
        <w:tab w:val="center" w:pos="4536"/>
        <w:tab w:val="right" w:pos="9072"/>
      </w:tabs>
    </w:pPr>
  </w:style>
  <w:style w:type="paragraph" w:styleId="Pt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jc w:val="both"/>
    </w:pPr>
    <w:rPr>
      <w:rFonts w:ascii="Arial" w:hAnsi="Arial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Register1">
    <w:name w:val="index 1"/>
    <w:basedOn w:val="Standard"/>
    <w:next w:val="Standard"/>
    <w:pPr>
      <w:jc w:val="both"/>
    </w:pPr>
    <w:rPr>
      <w:rFonts w:ascii="Arial" w:hAnsi="Arial"/>
      <w:sz w:val="22"/>
    </w:rPr>
  </w:style>
  <w:style w:type="paragraph" w:customStyle="1" w:styleId="Contents3">
    <w:name w:val="Contents 3"/>
    <w:basedOn w:val="Standard"/>
    <w:next w:val="Standard"/>
    <w:pPr>
      <w:keepNext/>
      <w:tabs>
        <w:tab w:val="left" w:pos="1276"/>
        <w:tab w:val="right" w:leader="dot" w:pos="8505"/>
      </w:tabs>
      <w:spacing w:line="240" w:lineRule="atLeast"/>
    </w:pPr>
    <w:rPr>
      <w:rFonts w:ascii="Arial" w:hAnsi="Arial"/>
      <w:sz w:val="22"/>
    </w:rPr>
  </w:style>
  <w:style w:type="paragraph" w:styleId="Zarkazkladnhotextu2">
    <w:name w:val="Body Text Indent 2"/>
    <w:basedOn w:val="Standard"/>
    <w:pPr>
      <w:shd w:val="clear" w:color="auto" w:fill="FFFFFF"/>
      <w:ind w:firstLine="709"/>
      <w:jc w:val="both"/>
    </w:pPr>
    <w:rPr>
      <w:sz w:val="22"/>
    </w:rPr>
  </w:style>
  <w:style w:type="paragraph" w:styleId="Zarkazkladnhotextu3">
    <w:name w:val="Body Text Indent 3"/>
    <w:basedOn w:val="Standard"/>
    <w:pPr>
      <w:widowControl w:val="0"/>
      <w:autoSpaceDE w:val="0"/>
      <w:ind w:firstLine="709"/>
      <w:jc w:val="both"/>
    </w:pPr>
    <w:rPr>
      <w:sz w:val="24"/>
    </w:rPr>
  </w:style>
  <w:style w:type="paragraph" w:styleId="Zkladntext2">
    <w:name w:val="Body Text 2"/>
    <w:basedOn w:val="Standard"/>
    <w:link w:val="Zkladntext2Char"/>
    <w:pPr>
      <w:jc w:val="both"/>
    </w:pPr>
    <w:rPr>
      <w:sz w:val="22"/>
    </w:rPr>
  </w:style>
  <w:style w:type="paragraph" w:styleId="Zkladntext3">
    <w:name w:val="Body Text 3"/>
    <w:basedOn w:val="Standard"/>
    <w:pPr>
      <w:jc w:val="both"/>
    </w:pPr>
    <w:rPr>
      <w:color w:val="FF00FF"/>
      <w:sz w:val="22"/>
    </w:rPr>
  </w:style>
  <w:style w:type="paragraph" w:customStyle="1" w:styleId="Normalpraktik">
    <w:name w:val="Normal praktik"/>
    <w:pPr>
      <w:widowControl/>
      <w:spacing w:after="120" w:line="360" w:lineRule="atLeast"/>
      <w:ind w:firstLine="357"/>
      <w:jc w:val="both"/>
    </w:pPr>
    <w:rPr>
      <w:rFonts w:ascii="Arial" w:eastAsia="Times New Roman" w:hAnsi="Arial" w:cs="Times New Roman"/>
      <w:sz w:val="22"/>
      <w:szCs w:val="20"/>
    </w:rPr>
  </w:style>
  <w:style w:type="paragraph" w:styleId="Oznaitext">
    <w:name w:val="Block Text"/>
    <w:basedOn w:val="Standard"/>
    <w:pPr>
      <w:widowControl w:val="0"/>
      <w:autoSpaceDE w:val="0"/>
      <w:ind w:left="1418" w:right="-709" w:hanging="8"/>
      <w:jc w:val="both"/>
    </w:pPr>
    <w:rPr>
      <w:rFonts w:ascii="Century Gothic" w:hAnsi="Century Gothic" w:cs="Tahoma"/>
      <w:color w:val="800080"/>
    </w:rPr>
  </w:style>
  <w:style w:type="paragraph" w:styleId="Obyajntext">
    <w:name w:val="Plain Text"/>
    <w:basedOn w:val="Standard"/>
    <w:rPr>
      <w:rFonts w:ascii="Courier New" w:hAnsi="Courier New" w:cs="Courier New"/>
    </w:rPr>
  </w:style>
  <w:style w:type="paragraph" w:styleId="Normlnywebov">
    <w:name w:val="Normal (Web)"/>
    <w:basedOn w:val="Standard"/>
    <w:pPr>
      <w:spacing w:before="100" w:after="100" w:line="240" w:lineRule="atLeast"/>
    </w:pPr>
    <w:rPr>
      <w:rFonts w:ascii="Verdana" w:hAnsi="Verdana"/>
      <w:color w:val="666666"/>
      <w:sz w:val="16"/>
      <w:szCs w:val="16"/>
    </w:rPr>
  </w:style>
  <w:style w:type="paragraph" w:customStyle="1" w:styleId="Zkladntextodsazen3">
    <w:name w:val="Základní text odsazený 3"/>
    <w:basedOn w:val="Standard"/>
    <w:pPr>
      <w:shd w:val="clear" w:color="auto" w:fill="FFFFFF"/>
      <w:ind w:left="1418"/>
      <w:jc w:val="both"/>
    </w:pPr>
    <w:rPr>
      <w:sz w:val="22"/>
      <w:szCs w:val="22"/>
    </w:rPr>
  </w:style>
  <w:style w:type="paragraph" w:customStyle="1" w:styleId="Prosttext">
    <w:name w:val="Prostý text"/>
    <w:basedOn w:val="Standard"/>
    <w:rPr>
      <w:rFonts w:ascii="Courier New" w:hAnsi="Courier New" w:cs="Courier New"/>
    </w:rPr>
  </w:style>
  <w:style w:type="paragraph" w:customStyle="1" w:styleId="Zkladntextodsazen2">
    <w:name w:val="Základní text odsazený 2"/>
    <w:basedOn w:val="Standard"/>
    <w:pPr>
      <w:shd w:val="clear" w:color="auto" w:fill="FFFFFF"/>
      <w:ind w:firstLine="709"/>
      <w:jc w:val="both"/>
    </w:pPr>
    <w:rPr>
      <w:sz w:val="22"/>
    </w:rPr>
  </w:style>
  <w:style w:type="paragraph" w:customStyle="1" w:styleId="Obyajntext1">
    <w:name w:val="Obyčajný text1"/>
    <w:basedOn w:val="Standard"/>
    <w:rPr>
      <w:rFonts w:ascii="Courier New" w:hAnsi="Courier New" w:cs="Courier New"/>
    </w:rPr>
  </w:style>
  <w:style w:type="paragraph" w:customStyle="1" w:styleId="Atext">
    <w:name w:val="A_text"/>
    <w:pPr>
      <w:widowControl/>
      <w:spacing w:line="276" w:lineRule="auto"/>
      <w:jc w:val="both"/>
    </w:pPr>
    <w:rPr>
      <w:rFonts w:ascii="Arial" w:eastAsia="Times New Roman" w:hAnsi="Arial" w:cs="Times New Roman"/>
      <w:sz w:val="22"/>
      <w:szCs w:val="20"/>
    </w:rPr>
  </w:style>
  <w:style w:type="character" w:styleId="slostrany">
    <w:name w:val="page number"/>
    <w:basedOn w:val="Predvolenpsmoodsek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Symbol" w:eastAsia="Times New Roman" w:hAnsi="Symbol"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6z0">
    <w:name w:val="WW8Num26z0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  <w:style w:type="numbering" w:customStyle="1" w:styleId="WW8Num4">
    <w:name w:val="WW8Num4"/>
    <w:basedOn w:val="Bezzoznamu"/>
    <w:pPr>
      <w:numPr>
        <w:numId w:val="4"/>
      </w:numPr>
    </w:pPr>
  </w:style>
  <w:style w:type="numbering" w:customStyle="1" w:styleId="WW8Num5">
    <w:name w:val="WW8Num5"/>
    <w:basedOn w:val="Bezzoznamu"/>
    <w:pPr>
      <w:numPr>
        <w:numId w:val="5"/>
      </w:numPr>
    </w:pPr>
  </w:style>
  <w:style w:type="numbering" w:customStyle="1" w:styleId="WW8Num6">
    <w:name w:val="WW8Num6"/>
    <w:basedOn w:val="Bezzoznamu"/>
    <w:pPr>
      <w:numPr>
        <w:numId w:val="6"/>
      </w:numPr>
    </w:pPr>
  </w:style>
  <w:style w:type="numbering" w:customStyle="1" w:styleId="WW8Num7">
    <w:name w:val="WW8Num7"/>
    <w:basedOn w:val="Bezzoznamu"/>
    <w:pPr>
      <w:numPr>
        <w:numId w:val="7"/>
      </w:numPr>
    </w:pPr>
  </w:style>
  <w:style w:type="numbering" w:customStyle="1" w:styleId="WW8Num8">
    <w:name w:val="WW8Num8"/>
    <w:basedOn w:val="Bezzoznamu"/>
    <w:pPr>
      <w:numPr>
        <w:numId w:val="8"/>
      </w:numPr>
    </w:pPr>
  </w:style>
  <w:style w:type="numbering" w:customStyle="1" w:styleId="WW8Num9">
    <w:name w:val="WW8Num9"/>
    <w:basedOn w:val="Bezzoznamu"/>
    <w:pPr>
      <w:numPr>
        <w:numId w:val="9"/>
      </w:numPr>
    </w:pPr>
  </w:style>
  <w:style w:type="numbering" w:customStyle="1" w:styleId="WW8Num10">
    <w:name w:val="WW8Num10"/>
    <w:basedOn w:val="Bezzoznamu"/>
    <w:pPr>
      <w:numPr>
        <w:numId w:val="10"/>
      </w:numPr>
    </w:pPr>
  </w:style>
  <w:style w:type="numbering" w:customStyle="1" w:styleId="WW8Num11">
    <w:name w:val="WW8Num11"/>
    <w:basedOn w:val="Bezzoznamu"/>
    <w:pPr>
      <w:numPr>
        <w:numId w:val="11"/>
      </w:numPr>
    </w:pPr>
  </w:style>
  <w:style w:type="numbering" w:customStyle="1" w:styleId="WW8Num12">
    <w:name w:val="WW8Num12"/>
    <w:basedOn w:val="Bezzoznamu"/>
    <w:pPr>
      <w:numPr>
        <w:numId w:val="12"/>
      </w:numPr>
    </w:pPr>
  </w:style>
  <w:style w:type="numbering" w:customStyle="1" w:styleId="WW8Num13">
    <w:name w:val="WW8Num13"/>
    <w:basedOn w:val="Bezzoznamu"/>
    <w:pPr>
      <w:numPr>
        <w:numId w:val="13"/>
      </w:numPr>
    </w:pPr>
  </w:style>
  <w:style w:type="numbering" w:customStyle="1" w:styleId="WW8Num14">
    <w:name w:val="WW8Num14"/>
    <w:basedOn w:val="Bezzoznamu"/>
    <w:pPr>
      <w:numPr>
        <w:numId w:val="14"/>
      </w:numPr>
    </w:pPr>
  </w:style>
  <w:style w:type="numbering" w:customStyle="1" w:styleId="WW8Num15">
    <w:name w:val="WW8Num15"/>
    <w:basedOn w:val="Bezzoznamu"/>
    <w:pPr>
      <w:numPr>
        <w:numId w:val="15"/>
      </w:numPr>
    </w:pPr>
  </w:style>
  <w:style w:type="table" w:styleId="Mriekatabuky">
    <w:name w:val="Table Grid"/>
    <w:basedOn w:val="Normlnatabuka"/>
    <w:uiPriority w:val="59"/>
    <w:rsid w:val="003E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24E3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E30"/>
    <w:rPr>
      <w:rFonts w:ascii="Tahoma" w:hAnsi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100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100EB"/>
  </w:style>
  <w:style w:type="character" w:customStyle="1" w:styleId="Zkladntext2Char">
    <w:name w:val="Základný text 2 Char"/>
    <w:basedOn w:val="Predvolenpsmoodseku"/>
    <w:link w:val="Zkladntext2"/>
    <w:rsid w:val="000B508B"/>
    <w:rPr>
      <w:rFonts w:eastAsia="Times New Roman" w:cs="Times New Roman"/>
      <w:sz w:val="22"/>
      <w:szCs w:val="20"/>
    </w:rPr>
  </w:style>
  <w:style w:type="character" w:customStyle="1" w:styleId="Bodytext2">
    <w:name w:val="Body text (2)_"/>
    <w:link w:val="Bodytext20"/>
    <w:rsid w:val="00840EB9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40EB9"/>
    <w:pPr>
      <w:shd w:val="clear" w:color="auto" w:fill="FFFFFF"/>
      <w:suppressAutoHyphens w:val="0"/>
      <w:autoSpaceDN/>
      <w:spacing w:before="180" w:after="180" w:line="264" w:lineRule="exact"/>
      <w:ind w:hanging="400"/>
      <w:jc w:val="both"/>
      <w:textAlignment w:val="auto"/>
    </w:pPr>
    <w:rPr>
      <w:rFonts w:ascii="Calibri" w:eastAsia="Calibri" w:hAnsi="Calibri" w:cs="Calibri"/>
      <w:sz w:val="22"/>
      <w:szCs w:val="22"/>
    </w:rPr>
  </w:style>
  <w:style w:type="paragraph" w:styleId="Odsekzoznamu">
    <w:name w:val="List Paragraph"/>
    <w:basedOn w:val="Normlny"/>
    <w:uiPriority w:val="34"/>
    <w:qFormat/>
    <w:rsid w:val="0053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Zmena 02-12 Trakovice-čistopis</vt:lpstr>
    </vt:vector>
  </TitlesOfParts>
  <Company/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Zmena 02-12 Trakovice-čistopis</dc:title>
  <dc:creator>SAZP</dc:creator>
  <cp:lastModifiedBy>STAROSTA</cp:lastModifiedBy>
  <cp:revision>10</cp:revision>
  <cp:lastPrinted>2021-05-05T14:38:00Z</cp:lastPrinted>
  <dcterms:created xsi:type="dcterms:W3CDTF">2021-05-05T14:38:00Z</dcterms:created>
  <dcterms:modified xsi:type="dcterms:W3CDTF">2023-12-14T10:13:00Z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